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2124" w:rsidRPr="00085672" w:rsidRDefault="00092124" w:rsidP="00092124">
      <w:pPr>
        <w:jc w:val="center"/>
        <w:rPr>
          <w:b/>
          <w:sz w:val="20"/>
          <w:szCs w:val="20"/>
          <w:lang w:val="en-GB"/>
        </w:rPr>
      </w:pPr>
      <w:r w:rsidRPr="00085672">
        <w:rPr>
          <w:b/>
          <w:sz w:val="20"/>
          <w:szCs w:val="20"/>
          <w:lang w:val="en-GB"/>
        </w:rPr>
        <w:t>The anti-inflammatory properties of simvastatin can benefit statin-naïve rheumatoid arthritis patients with associated risks for cardiovascular disease.</w:t>
      </w:r>
    </w:p>
    <w:p w:rsidR="00092124" w:rsidRDefault="00092124" w:rsidP="00092124">
      <w:pPr>
        <w:pStyle w:val="NormalWeb"/>
        <w:jc w:val="both"/>
        <w:rPr>
          <w:rFonts w:ascii="Arial" w:hAnsi="Arial" w:cs="Arial"/>
          <w:b/>
          <w:sz w:val="20"/>
          <w:szCs w:val="20"/>
          <w:lang w:val="en-GB"/>
        </w:rPr>
      </w:pPr>
    </w:p>
    <w:p w:rsidR="00092124" w:rsidRDefault="00092124" w:rsidP="00092124">
      <w:pPr>
        <w:pStyle w:val="NormalWeb"/>
        <w:spacing w:before="0" w:beforeAutospacing="0" w:after="0" w:afterAutospacing="0"/>
        <w:jc w:val="both"/>
        <w:rPr>
          <w:rFonts w:ascii="Arial" w:hAnsi="Arial" w:cs="Arial"/>
          <w:sz w:val="20"/>
          <w:szCs w:val="20"/>
          <w:lang w:val="en-GB"/>
        </w:rPr>
      </w:pPr>
      <w:proofErr w:type="spellStart"/>
      <w:r w:rsidRPr="00085672">
        <w:rPr>
          <w:rFonts w:ascii="Arial" w:hAnsi="Arial" w:cs="Arial"/>
          <w:b/>
          <w:sz w:val="20"/>
          <w:szCs w:val="20"/>
          <w:lang w:val="en-GB"/>
        </w:rPr>
        <w:t>Komolafe</w:t>
      </w:r>
      <w:proofErr w:type="spellEnd"/>
      <w:r w:rsidRPr="00085672">
        <w:rPr>
          <w:rFonts w:ascii="Arial" w:hAnsi="Arial" w:cs="Arial"/>
          <w:b/>
          <w:sz w:val="20"/>
          <w:szCs w:val="20"/>
          <w:lang w:val="en-GB"/>
        </w:rPr>
        <w:t xml:space="preserve"> AO </w:t>
      </w:r>
      <w:r w:rsidRPr="00085672">
        <w:rPr>
          <w:rFonts w:ascii="Arial" w:hAnsi="Arial" w:cs="Arial"/>
          <w:b/>
          <w:sz w:val="20"/>
          <w:szCs w:val="20"/>
          <w:vertAlign w:val="superscript"/>
          <w:lang w:val="en-GB"/>
        </w:rPr>
        <w:t>1</w:t>
      </w:r>
      <w:r w:rsidRPr="00085672">
        <w:rPr>
          <w:rFonts w:ascii="Arial" w:hAnsi="Arial" w:cs="Arial"/>
          <w:sz w:val="20"/>
          <w:szCs w:val="20"/>
          <w:lang w:val="en-GB"/>
        </w:rPr>
        <w:t xml:space="preserve"> </w:t>
      </w:r>
      <w:proofErr w:type="spellStart"/>
      <w:r w:rsidRPr="00085672">
        <w:rPr>
          <w:rFonts w:ascii="Arial" w:hAnsi="Arial" w:cs="Arial"/>
          <w:i/>
          <w:sz w:val="20"/>
          <w:szCs w:val="20"/>
          <w:lang w:val="en-GB"/>
        </w:rPr>
        <w:t>MBChB</w:t>
      </w:r>
      <w:proofErr w:type="spellEnd"/>
      <w:r w:rsidRPr="00085672">
        <w:rPr>
          <w:rFonts w:ascii="Arial" w:hAnsi="Arial" w:cs="Arial"/>
          <w:i/>
          <w:sz w:val="20"/>
          <w:szCs w:val="20"/>
          <w:lang w:val="en-GB"/>
        </w:rPr>
        <w:t xml:space="preserve"> </w:t>
      </w:r>
      <w:proofErr w:type="spellStart"/>
      <w:r w:rsidRPr="00085672">
        <w:rPr>
          <w:rFonts w:ascii="Arial" w:hAnsi="Arial" w:cs="Arial"/>
          <w:i/>
          <w:sz w:val="20"/>
          <w:szCs w:val="20"/>
          <w:lang w:val="en-GB"/>
        </w:rPr>
        <w:t>MPharmMed</w:t>
      </w:r>
      <w:proofErr w:type="spellEnd"/>
      <w:r w:rsidRPr="00085672">
        <w:rPr>
          <w:rFonts w:ascii="Arial" w:hAnsi="Arial" w:cs="Arial"/>
          <w:sz w:val="20"/>
          <w:szCs w:val="20"/>
          <w:lang w:val="en-GB"/>
        </w:rPr>
        <w:t xml:space="preserve">, </w:t>
      </w:r>
    </w:p>
    <w:p w:rsidR="00092124" w:rsidRDefault="00092124" w:rsidP="00092124">
      <w:pPr>
        <w:pStyle w:val="NormalWeb"/>
        <w:spacing w:before="0" w:beforeAutospacing="0" w:after="0" w:afterAutospacing="0"/>
        <w:jc w:val="both"/>
        <w:rPr>
          <w:rFonts w:ascii="Arial" w:hAnsi="Arial" w:cs="Arial"/>
          <w:sz w:val="20"/>
          <w:szCs w:val="20"/>
          <w:lang w:val="en-GB"/>
        </w:rPr>
      </w:pPr>
      <w:r w:rsidRPr="00085672">
        <w:rPr>
          <w:rFonts w:ascii="Arial" w:hAnsi="Arial" w:cs="Arial"/>
          <w:b/>
          <w:sz w:val="20"/>
          <w:szCs w:val="20"/>
          <w:lang w:val="en-GB"/>
        </w:rPr>
        <w:t xml:space="preserve">Ally MMTM </w:t>
      </w:r>
      <w:r w:rsidRPr="00085672">
        <w:rPr>
          <w:rFonts w:ascii="Arial" w:hAnsi="Arial" w:cs="Arial"/>
          <w:b/>
          <w:sz w:val="20"/>
          <w:szCs w:val="20"/>
          <w:vertAlign w:val="superscript"/>
          <w:lang w:val="en-GB"/>
        </w:rPr>
        <w:t>2</w:t>
      </w:r>
      <w:r w:rsidRPr="00085672">
        <w:rPr>
          <w:rFonts w:ascii="Arial" w:hAnsi="Arial" w:cs="Arial"/>
          <w:i/>
          <w:sz w:val="20"/>
          <w:szCs w:val="20"/>
          <w:lang w:val="en-GB"/>
        </w:rPr>
        <w:t xml:space="preserve"> </w:t>
      </w:r>
      <w:proofErr w:type="spellStart"/>
      <w:r w:rsidRPr="00085672">
        <w:rPr>
          <w:rFonts w:ascii="Arial" w:hAnsi="Arial" w:cs="Arial"/>
          <w:i/>
          <w:sz w:val="20"/>
          <w:szCs w:val="20"/>
          <w:lang w:val="en-GB"/>
        </w:rPr>
        <w:t>MBBCh</w:t>
      </w:r>
      <w:proofErr w:type="spellEnd"/>
      <w:r w:rsidRPr="00085672">
        <w:rPr>
          <w:rFonts w:ascii="Arial" w:hAnsi="Arial" w:cs="Arial"/>
          <w:i/>
          <w:sz w:val="20"/>
          <w:szCs w:val="20"/>
          <w:lang w:val="en-GB"/>
        </w:rPr>
        <w:t xml:space="preserve"> </w:t>
      </w:r>
      <w:proofErr w:type="gramStart"/>
      <w:r w:rsidRPr="00085672">
        <w:rPr>
          <w:rFonts w:ascii="Arial" w:hAnsi="Arial" w:cs="Arial"/>
          <w:i/>
          <w:sz w:val="20"/>
          <w:szCs w:val="20"/>
          <w:lang w:val="en-GB"/>
        </w:rPr>
        <w:t>FCP(</w:t>
      </w:r>
      <w:proofErr w:type="gramEnd"/>
      <w:r w:rsidRPr="00085672">
        <w:rPr>
          <w:rFonts w:ascii="Arial" w:hAnsi="Arial" w:cs="Arial"/>
          <w:i/>
          <w:sz w:val="20"/>
          <w:szCs w:val="20"/>
          <w:lang w:val="en-GB"/>
        </w:rPr>
        <w:t>SA)</w:t>
      </w:r>
      <w:r w:rsidRPr="00085672">
        <w:rPr>
          <w:rFonts w:ascii="Arial" w:hAnsi="Arial" w:cs="Arial"/>
          <w:sz w:val="20"/>
          <w:szCs w:val="20"/>
          <w:lang w:val="en-GB"/>
        </w:rPr>
        <w:t xml:space="preserve">, </w:t>
      </w:r>
    </w:p>
    <w:p w:rsidR="00092124" w:rsidRDefault="00092124" w:rsidP="00092124">
      <w:pPr>
        <w:pStyle w:val="NormalWeb"/>
        <w:spacing w:before="0" w:beforeAutospacing="0" w:after="0" w:afterAutospacing="0"/>
        <w:jc w:val="both"/>
        <w:rPr>
          <w:rFonts w:ascii="Arial" w:hAnsi="Arial" w:cs="Arial"/>
          <w:color w:val="000000"/>
          <w:sz w:val="20"/>
          <w:szCs w:val="20"/>
          <w:lang w:val="en-GB"/>
        </w:rPr>
      </w:pPr>
      <w:proofErr w:type="gramStart"/>
      <w:r w:rsidRPr="00085672">
        <w:rPr>
          <w:rFonts w:ascii="Arial" w:hAnsi="Arial" w:cs="Arial"/>
          <w:b/>
          <w:color w:val="000000"/>
          <w:sz w:val="20"/>
          <w:szCs w:val="20"/>
          <w:lang w:val="en-GB"/>
        </w:rPr>
        <w:t>van</w:t>
      </w:r>
      <w:proofErr w:type="gramEnd"/>
      <w:r w:rsidRPr="00085672">
        <w:rPr>
          <w:rFonts w:ascii="Arial" w:hAnsi="Arial" w:cs="Arial"/>
          <w:b/>
          <w:color w:val="000000"/>
          <w:sz w:val="20"/>
          <w:szCs w:val="20"/>
          <w:lang w:val="en-GB"/>
        </w:rPr>
        <w:t xml:space="preserve"> </w:t>
      </w:r>
      <w:proofErr w:type="spellStart"/>
      <w:r w:rsidRPr="00085672">
        <w:rPr>
          <w:rFonts w:ascii="Arial" w:hAnsi="Arial" w:cs="Arial"/>
          <w:b/>
          <w:color w:val="000000"/>
          <w:sz w:val="20"/>
          <w:szCs w:val="20"/>
          <w:lang w:val="en-GB"/>
        </w:rPr>
        <w:t>Tonder</w:t>
      </w:r>
      <w:proofErr w:type="spellEnd"/>
      <w:r w:rsidRPr="00085672">
        <w:rPr>
          <w:rFonts w:ascii="Arial" w:hAnsi="Arial" w:cs="Arial"/>
          <w:b/>
          <w:color w:val="000000"/>
          <w:sz w:val="20"/>
          <w:szCs w:val="20"/>
          <w:lang w:val="en-GB"/>
        </w:rPr>
        <w:t xml:space="preserve"> JJ </w:t>
      </w:r>
      <w:r w:rsidRPr="00085672">
        <w:rPr>
          <w:rFonts w:ascii="Arial" w:hAnsi="Arial" w:cs="Arial"/>
          <w:b/>
          <w:sz w:val="20"/>
          <w:szCs w:val="20"/>
          <w:vertAlign w:val="superscript"/>
          <w:lang w:val="en-GB"/>
        </w:rPr>
        <w:t>1</w:t>
      </w:r>
      <w:r w:rsidRPr="00085672">
        <w:rPr>
          <w:rFonts w:ascii="Arial" w:hAnsi="Arial" w:cs="Arial"/>
          <w:i/>
          <w:sz w:val="20"/>
          <w:szCs w:val="20"/>
          <w:lang w:val="en-GB"/>
        </w:rPr>
        <w:t xml:space="preserve"> BSc BSc(</w:t>
      </w:r>
      <w:proofErr w:type="spellStart"/>
      <w:r w:rsidRPr="00085672">
        <w:rPr>
          <w:rFonts w:ascii="Arial" w:hAnsi="Arial" w:cs="Arial"/>
          <w:i/>
          <w:sz w:val="20"/>
          <w:szCs w:val="20"/>
          <w:lang w:val="en-GB"/>
        </w:rPr>
        <w:t>Hons</w:t>
      </w:r>
      <w:proofErr w:type="spellEnd"/>
      <w:r w:rsidRPr="00085672">
        <w:rPr>
          <w:rFonts w:ascii="Arial" w:hAnsi="Arial" w:cs="Arial"/>
          <w:i/>
          <w:sz w:val="20"/>
          <w:szCs w:val="20"/>
          <w:lang w:val="en-GB"/>
        </w:rPr>
        <w:t>) MSc PhD</w:t>
      </w:r>
      <w:r w:rsidRPr="00085672">
        <w:rPr>
          <w:rFonts w:ascii="Arial" w:hAnsi="Arial" w:cs="Arial"/>
          <w:color w:val="000000"/>
          <w:sz w:val="20"/>
          <w:szCs w:val="20"/>
          <w:lang w:val="en-GB"/>
        </w:rPr>
        <w:t xml:space="preserve">, </w:t>
      </w:r>
    </w:p>
    <w:p w:rsidR="00092124" w:rsidRPr="00085672" w:rsidRDefault="00092124" w:rsidP="00092124">
      <w:pPr>
        <w:pStyle w:val="NormalWeb"/>
        <w:spacing w:before="0" w:beforeAutospacing="0" w:after="0" w:afterAutospacing="0"/>
        <w:jc w:val="both"/>
        <w:rPr>
          <w:rFonts w:ascii="Arial" w:hAnsi="Arial" w:cs="Arial"/>
          <w:sz w:val="20"/>
          <w:szCs w:val="20"/>
          <w:lang w:val="en-GB"/>
        </w:rPr>
      </w:pPr>
      <w:r w:rsidRPr="00085672">
        <w:rPr>
          <w:rFonts w:ascii="Arial" w:hAnsi="Arial" w:cs="Arial"/>
          <w:b/>
          <w:sz w:val="20"/>
          <w:szCs w:val="20"/>
          <w:lang w:val="en-GB"/>
        </w:rPr>
        <w:t xml:space="preserve">Greeff </w:t>
      </w:r>
      <w:proofErr w:type="gramStart"/>
      <w:r w:rsidRPr="00085672">
        <w:rPr>
          <w:rFonts w:ascii="Arial" w:hAnsi="Arial" w:cs="Arial"/>
          <w:b/>
          <w:sz w:val="20"/>
          <w:szCs w:val="20"/>
          <w:lang w:val="en-GB"/>
        </w:rPr>
        <w:t xml:space="preserve">OBW  </w:t>
      </w:r>
      <w:r w:rsidRPr="00085672">
        <w:rPr>
          <w:rFonts w:ascii="Arial" w:hAnsi="Arial" w:cs="Arial"/>
          <w:b/>
          <w:sz w:val="20"/>
          <w:szCs w:val="20"/>
          <w:vertAlign w:val="superscript"/>
          <w:lang w:val="en-GB"/>
        </w:rPr>
        <w:t>1</w:t>
      </w:r>
      <w:proofErr w:type="gramEnd"/>
      <w:r w:rsidRPr="00085672">
        <w:rPr>
          <w:rFonts w:ascii="Arial" w:hAnsi="Arial" w:cs="Arial"/>
          <w:sz w:val="20"/>
          <w:szCs w:val="20"/>
          <w:lang w:val="en-GB"/>
        </w:rPr>
        <w:t xml:space="preserve"> </w:t>
      </w:r>
      <w:proofErr w:type="spellStart"/>
      <w:r w:rsidRPr="00085672">
        <w:rPr>
          <w:rFonts w:ascii="Arial" w:hAnsi="Arial" w:cs="Arial"/>
          <w:i/>
          <w:sz w:val="20"/>
          <w:szCs w:val="20"/>
          <w:lang w:val="en-GB"/>
        </w:rPr>
        <w:t>MBChB</w:t>
      </w:r>
      <w:proofErr w:type="spellEnd"/>
      <w:r w:rsidRPr="00085672">
        <w:rPr>
          <w:rFonts w:ascii="Arial" w:hAnsi="Arial" w:cs="Arial"/>
          <w:i/>
          <w:sz w:val="20"/>
          <w:szCs w:val="20"/>
          <w:lang w:val="en-GB"/>
        </w:rPr>
        <w:t xml:space="preserve"> FCFP(SA) </w:t>
      </w:r>
      <w:proofErr w:type="spellStart"/>
      <w:r w:rsidRPr="00085672">
        <w:rPr>
          <w:rFonts w:ascii="Arial" w:hAnsi="Arial" w:cs="Arial"/>
          <w:i/>
          <w:sz w:val="20"/>
          <w:szCs w:val="20"/>
          <w:lang w:val="en-GB"/>
        </w:rPr>
        <w:t>MPharmMed</w:t>
      </w:r>
      <w:proofErr w:type="spellEnd"/>
      <w:r w:rsidRPr="00085672">
        <w:rPr>
          <w:rFonts w:ascii="Arial" w:hAnsi="Arial" w:cs="Arial"/>
          <w:i/>
          <w:sz w:val="20"/>
          <w:szCs w:val="20"/>
          <w:lang w:val="en-GB"/>
        </w:rPr>
        <w:t xml:space="preserve"> FFPM (RCP) MD</w:t>
      </w:r>
    </w:p>
    <w:p w:rsidR="00092124" w:rsidRDefault="00092124" w:rsidP="00092124">
      <w:pPr>
        <w:pStyle w:val="NoSpacing"/>
        <w:rPr>
          <w:sz w:val="20"/>
          <w:szCs w:val="20"/>
          <w:vertAlign w:val="superscript"/>
          <w:lang w:val="en-GB"/>
        </w:rPr>
      </w:pPr>
    </w:p>
    <w:p w:rsidR="00092124" w:rsidRPr="00085672" w:rsidRDefault="00092124" w:rsidP="00092124">
      <w:pPr>
        <w:pStyle w:val="NoSpacing"/>
        <w:rPr>
          <w:sz w:val="20"/>
          <w:szCs w:val="20"/>
          <w:vertAlign w:val="superscript"/>
          <w:lang w:val="en-GB"/>
        </w:rPr>
      </w:pPr>
    </w:p>
    <w:p w:rsidR="00092124" w:rsidRPr="00085672" w:rsidRDefault="00092124" w:rsidP="00092124">
      <w:pPr>
        <w:pStyle w:val="NoSpacing"/>
        <w:rPr>
          <w:sz w:val="20"/>
          <w:szCs w:val="20"/>
          <w:lang w:val="en-GB"/>
        </w:rPr>
      </w:pPr>
      <w:r w:rsidRPr="00085672">
        <w:rPr>
          <w:sz w:val="20"/>
          <w:szCs w:val="20"/>
          <w:vertAlign w:val="superscript"/>
          <w:lang w:val="en-GB"/>
        </w:rPr>
        <w:t>1</w:t>
      </w:r>
      <w:r w:rsidRPr="00085672">
        <w:rPr>
          <w:sz w:val="20"/>
          <w:szCs w:val="20"/>
          <w:lang w:val="en-GB"/>
        </w:rPr>
        <w:t xml:space="preserve"> Department of Pharmacology, University of Pretoria </w:t>
      </w:r>
      <w:r w:rsidRPr="00085672">
        <w:rPr>
          <w:sz w:val="20"/>
          <w:szCs w:val="20"/>
          <w:lang w:val="en-GB"/>
        </w:rPr>
        <w:br/>
      </w:r>
      <w:r w:rsidRPr="00085672">
        <w:rPr>
          <w:sz w:val="20"/>
          <w:szCs w:val="20"/>
          <w:vertAlign w:val="superscript"/>
          <w:lang w:val="en-GB"/>
        </w:rPr>
        <w:t>2</w:t>
      </w:r>
      <w:r w:rsidRPr="00085672">
        <w:rPr>
          <w:sz w:val="20"/>
          <w:szCs w:val="20"/>
          <w:lang w:val="en-GB"/>
        </w:rPr>
        <w:t xml:space="preserve"> Department of Internal Medicine, Steve </w:t>
      </w:r>
      <w:proofErr w:type="spellStart"/>
      <w:r w:rsidRPr="00085672">
        <w:rPr>
          <w:sz w:val="20"/>
          <w:szCs w:val="20"/>
          <w:lang w:val="en-GB"/>
        </w:rPr>
        <w:t>Biko</w:t>
      </w:r>
      <w:proofErr w:type="spellEnd"/>
      <w:r w:rsidRPr="00085672">
        <w:rPr>
          <w:sz w:val="20"/>
          <w:szCs w:val="20"/>
          <w:lang w:val="en-GB"/>
        </w:rPr>
        <w:t xml:space="preserve"> Academic Hospital</w:t>
      </w:r>
    </w:p>
    <w:p w:rsidR="00092124" w:rsidRDefault="00092124" w:rsidP="00092124">
      <w:pPr>
        <w:pStyle w:val="NoSpacing"/>
        <w:rPr>
          <w:bCs/>
          <w:color w:val="000000"/>
          <w:kern w:val="36"/>
          <w:sz w:val="20"/>
          <w:szCs w:val="20"/>
          <w:lang w:val="en-GB" w:eastAsia="en-ZA"/>
        </w:rPr>
      </w:pPr>
    </w:p>
    <w:p w:rsidR="00092124" w:rsidRDefault="00092124" w:rsidP="00092124">
      <w:pPr>
        <w:pStyle w:val="NoSpacing"/>
        <w:rPr>
          <w:bCs/>
          <w:color w:val="000000"/>
          <w:kern w:val="36"/>
          <w:sz w:val="20"/>
          <w:szCs w:val="20"/>
          <w:lang w:val="en-GB" w:eastAsia="en-ZA"/>
        </w:rPr>
      </w:pPr>
    </w:p>
    <w:p w:rsidR="00092124" w:rsidRDefault="00092124" w:rsidP="00092124">
      <w:pPr>
        <w:pStyle w:val="NoSpacing"/>
        <w:rPr>
          <w:bCs/>
          <w:color w:val="000000"/>
          <w:kern w:val="36"/>
          <w:sz w:val="20"/>
          <w:szCs w:val="20"/>
          <w:lang w:val="en-GB" w:eastAsia="en-ZA"/>
        </w:rPr>
      </w:pPr>
    </w:p>
    <w:p w:rsidR="00092124" w:rsidRDefault="00092124" w:rsidP="00092124">
      <w:pPr>
        <w:pStyle w:val="NoSpacing"/>
        <w:rPr>
          <w:bCs/>
          <w:color w:val="000000"/>
          <w:kern w:val="36"/>
          <w:sz w:val="20"/>
          <w:szCs w:val="20"/>
          <w:lang w:val="en-GB" w:eastAsia="en-ZA"/>
        </w:rPr>
      </w:pPr>
    </w:p>
    <w:p w:rsidR="00092124" w:rsidRPr="00085672" w:rsidRDefault="00092124" w:rsidP="00092124">
      <w:pPr>
        <w:pStyle w:val="NoSpacing"/>
        <w:rPr>
          <w:bCs/>
          <w:color w:val="000000"/>
          <w:kern w:val="36"/>
          <w:sz w:val="20"/>
          <w:szCs w:val="20"/>
          <w:lang w:val="en-GB" w:eastAsia="en-ZA"/>
        </w:rPr>
      </w:pPr>
    </w:p>
    <w:p w:rsidR="00092124" w:rsidRPr="00085672" w:rsidRDefault="00092124" w:rsidP="00092124">
      <w:pPr>
        <w:widowControl/>
        <w:autoSpaceDE/>
        <w:autoSpaceDN/>
        <w:adjustRightInd/>
        <w:spacing w:after="200"/>
        <w:jc w:val="center"/>
        <w:rPr>
          <w:rFonts w:eastAsiaTheme="minorHAnsi"/>
          <w:b/>
          <w:sz w:val="20"/>
          <w:szCs w:val="20"/>
          <w:u w:val="single"/>
          <w:lang w:val="en-GB"/>
        </w:rPr>
      </w:pPr>
      <w:r w:rsidRPr="00085672">
        <w:rPr>
          <w:rFonts w:eastAsiaTheme="minorHAnsi"/>
          <w:b/>
          <w:i/>
          <w:sz w:val="20"/>
          <w:szCs w:val="20"/>
          <w:lang w:val="en-GB"/>
        </w:rPr>
        <w:t xml:space="preserve">* </w:t>
      </w:r>
      <w:r w:rsidRPr="00085672">
        <w:rPr>
          <w:rFonts w:eastAsiaTheme="minorHAnsi"/>
          <w:b/>
          <w:i/>
          <w:sz w:val="20"/>
          <w:szCs w:val="20"/>
          <w:u w:val="single"/>
          <w:lang w:val="en-GB"/>
        </w:rPr>
        <w:t>Corresponding author</w:t>
      </w:r>
    </w:p>
    <w:p w:rsidR="00092124" w:rsidRPr="00085672" w:rsidRDefault="00092124" w:rsidP="00092124">
      <w:pPr>
        <w:widowControl/>
        <w:autoSpaceDE/>
        <w:autoSpaceDN/>
        <w:adjustRightInd/>
        <w:rPr>
          <w:rFonts w:eastAsiaTheme="minorHAnsi"/>
          <w:sz w:val="20"/>
          <w:szCs w:val="20"/>
          <w:lang w:val="en-GB"/>
        </w:rPr>
      </w:pPr>
      <w:r w:rsidRPr="00085672">
        <w:rPr>
          <w:rFonts w:eastAsiaTheme="minorHAnsi"/>
          <w:sz w:val="20"/>
          <w:szCs w:val="20"/>
          <w:lang w:val="en-GB"/>
        </w:rPr>
        <w:t xml:space="preserve">Prof </w:t>
      </w:r>
      <w:proofErr w:type="spellStart"/>
      <w:r w:rsidRPr="00085672">
        <w:rPr>
          <w:rFonts w:eastAsiaTheme="minorHAnsi"/>
          <w:sz w:val="20"/>
          <w:szCs w:val="20"/>
          <w:lang w:val="en-GB"/>
        </w:rPr>
        <w:t>Oppel</w:t>
      </w:r>
      <w:proofErr w:type="spellEnd"/>
      <w:r w:rsidRPr="00085672">
        <w:rPr>
          <w:rFonts w:eastAsiaTheme="minorHAnsi"/>
          <w:sz w:val="20"/>
          <w:szCs w:val="20"/>
          <w:lang w:val="en-GB"/>
        </w:rPr>
        <w:t xml:space="preserve"> Greeff</w:t>
      </w:r>
    </w:p>
    <w:p w:rsidR="00092124" w:rsidRPr="00085672" w:rsidRDefault="00092124" w:rsidP="00092124">
      <w:pPr>
        <w:widowControl/>
        <w:autoSpaceDE/>
        <w:autoSpaceDN/>
        <w:adjustRightInd/>
        <w:rPr>
          <w:rFonts w:eastAsiaTheme="minorHAnsi"/>
          <w:sz w:val="20"/>
          <w:szCs w:val="20"/>
          <w:lang w:val="en-GB"/>
        </w:rPr>
      </w:pPr>
      <w:r w:rsidRPr="00085672">
        <w:rPr>
          <w:rFonts w:eastAsiaTheme="minorHAnsi"/>
          <w:sz w:val="20"/>
          <w:szCs w:val="20"/>
          <w:lang w:val="en-GB"/>
        </w:rPr>
        <w:t>Department of Pharmacology</w:t>
      </w:r>
    </w:p>
    <w:p w:rsidR="00092124" w:rsidRPr="00085672" w:rsidRDefault="00092124" w:rsidP="00092124">
      <w:pPr>
        <w:widowControl/>
        <w:autoSpaceDE/>
        <w:autoSpaceDN/>
        <w:adjustRightInd/>
        <w:rPr>
          <w:rFonts w:eastAsiaTheme="minorHAnsi"/>
          <w:sz w:val="20"/>
          <w:szCs w:val="20"/>
          <w:lang w:val="en-GB"/>
        </w:rPr>
      </w:pPr>
      <w:r w:rsidRPr="00085672">
        <w:rPr>
          <w:rFonts w:eastAsiaTheme="minorHAnsi"/>
          <w:sz w:val="20"/>
          <w:szCs w:val="20"/>
          <w:lang w:val="en-GB"/>
        </w:rPr>
        <w:t>University of Pretoria</w:t>
      </w:r>
    </w:p>
    <w:p w:rsidR="00092124" w:rsidRPr="00085672" w:rsidRDefault="00092124" w:rsidP="00092124">
      <w:pPr>
        <w:widowControl/>
        <w:autoSpaceDE/>
        <w:autoSpaceDN/>
        <w:adjustRightInd/>
        <w:rPr>
          <w:rFonts w:eastAsiaTheme="minorHAnsi"/>
          <w:sz w:val="20"/>
          <w:szCs w:val="20"/>
          <w:lang w:val="en-GB"/>
        </w:rPr>
      </w:pPr>
      <w:r w:rsidRPr="00085672">
        <w:rPr>
          <w:rFonts w:eastAsiaTheme="minorHAnsi"/>
          <w:sz w:val="20"/>
          <w:szCs w:val="20"/>
          <w:lang w:val="en-GB"/>
        </w:rPr>
        <w:t>Private bag X323</w:t>
      </w:r>
    </w:p>
    <w:p w:rsidR="00092124" w:rsidRPr="00085672" w:rsidRDefault="00092124" w:rsidP="00092124">
      <w:pPr>
        <w:widowControl/>
        <w:autoSpaceDE/>
        <w:autoSpaceDN/>
        <w:adjustRightInd/>
        <w:rPr>
          <w:rFonts w:eastAsiaTheme="minorHAnsi"/>
          <w:sz w:val="20"/>
          <w:szCs w:val="20"/>
          <w:lang w:val="en-GB"/>
        </w:rPr>
      </w:pPr>
      <w:r w:rsidRPr="00085672">
        <w:rPr>
          <w:rFonts w:eastAsiaTheme="minorHAnsi"/>
          <w:sz w:val="20"/>
          <w:szCs w:val="20"/>
          <w:lang w:val="en-GB"/>
        </w:rPr>
        <w:t>Arcadia</w:t>
      </w:r>
    </w:p>
    <w:p w:rsidR="00092124" w:rsidRPr="00085672" w:rsidRDefault="00092124" w:rsidP="00092124">
      <w:pPr>
        <w:widowControl/>
        <w:autoSpaceDE/>
        <w:autoSpaceDN/>
        <w:adjustRightInd/>
        <w:rPr>
          <w:rFonts w:eastAsiaTheme="minorHAnsi"/>
          <w:sz w:val="20"/>
          <w:szCs w:val="20"/>
          <w:lang w:val="en-GB"/>
        </w:rPr>
      </w:pPr>
      <w:r w:rsidRPr="00085672">
        <w:rPr>
          <w:rFonts w:eastAsiaTheme="minorHAnsi"/>
          <w:sz w:val="20"/>
          <w:szCs w:val="20"/>
          <w:lang w:val="en-GB"/>
        </w:rPr>
        <w:t>Pretoria</w:t>
      </w:r>
    </w:p>
    <w:p w:rsidR="00092124" w:rsidRPr="00085672" w:rsidRDefault="00092124" w:rsidP="00092124">
      <w:pPr>
        <w:widowControl/>
        <w:autoSpaceDE/>
        <w:autoSpaceDN/>
        <w:adjustRightInd/>
        <w:rPr>
          <w:rFonts w:eastAsiaTheme="minorHAnsi"/>
          <w:sz w:val="20"/>
          <w:szCs w:val="20"/>
          <w:lang w:val="en-GB"/>
        </w:rPr>
      </w:pPr>
      <w:r w:rsidRPr="00085672">
        <w:rPr>
          <w:rFonts w:eastAsiaTheme="minorHAnsi"/>
          <w:sz w:val="20"/>
          <w:szCs w:val="20"/>
          <w:lang w:val="en-GB"/>
        </w:rPr>
        <w:t>South Africa</w:t>
      </w:r>
    </w:p>
    <w:p w:rsidR="00092124" w:rsidRPr="00085672" w:rsidRDefault="00092124" w:rsidP="00092124">
      <w:pPr>
        <w:widowControl/>
        <w:autoSpaceDE/>
        <w:autoSpaceDN/>
        <w:adjustRightInd/>
        <w:rPr>
          <w:rFonts w:eastAsiaTheme="minorHAnsi"/>
          <w:sz w:val="20"/>
          <w:szCs w:val="20"/>
          <w:lang w:val="en-GB"/>
        </w:rPr>
      </w:pPr>
      <w:r w:rsidRPr="00085672">
        <w:rPr>
          <w:rFonts w:eastAsiaTheme="minorHAnsi"/>
          <w:sz w:val="20"/>
          <w:szCs w:val="20"/>
          <w:lang w:val="en-GB"/>
        </w:rPr>
        <w:t>0007</w:t>
      </w:r>
    </w:p>
    <w:p w:rsidR="00092124" w:rsidRPr="00085672" w:rsidRDefault="00092124" w:rsidP="00092124">
      <w:pPr>
        <w:widowControl/>
        <w:autoSpaceDE/>
        <w:autoSpaceDN/>
        <w:adjustRightInd/>
        <w:rPr>
          <w:rFonts w:eastAsiaTheme="minorHAnsi"/>
          <w:sz w:val="20"/>
          <w:szCs w:val="20"/>
          <w:lang w:val="en-GB"/>
        </w:rPr>
      </w:pPr>
      <w:r w:rsidRPr="00085672">
        <w:rPr>
          <w:rFonts w:eastAsiaTheme="minorHAnsi"/>
          <w:sz w:val="20"/>
          <w:szCs w:val="20"/>
          <w:lang w:val="en-GB"/>
        </w:rPr>
        <w:t>oppel.greeff@up.ac.za</w:t>
      </w:r>
    </w:p>
    <w:p w:rsidR="00092124" w:rsidRPr="00085672" w:rsidRDefault="00092124" w:rsidP="00092124">
      <w:pPr>
        <w:widowControl/>
        <w:autoSpaceDE/>
        <w:autoSpaceDN/>
        <w:adjustRightInd/>
        <w:rPr>
          <w:rFonts w:eastAsiaTheme="minorHAnsi"/>
          <w:sz w:val="20"/>
          <w:szCs w:val="20"/>
          <w:lang w:val="en-GB"/>
        </w:rPr>
      </w:pPr>
      <w:r w:rsidRPr="00085672">
        <w:rPr>
          <w:rFonts w:eastAsiaTheme="minorHAnsi"/>
          <w:sz w:val="20"/>
          <w:szCs w:val="20"/>
          <w:lang w:val="en-GB"/>
        </w:rPr>
        <w:t>+27 12 319 2243</w:t>
      </w:r>
    </w:p>
    <w:p w:rsidR="009236E5" w:rsidRDefault="009236E5"/>
    <w:p w:rsidR="00092124" w:rsidRPr="00085672" w:rsidRDefault="00092124" w:rsidP="00092124">
      <w:pPr>
        <w:jc w:val="both"/>
        <w:rPr>
          <w:b/>
          <w:bCs/>
          <w:sz w:val="20"/>
          <w:szCs w:val="20"/>
          <w:lang w:val="en-GB"/>
        </w:rPr>
      </w:pPr>
      <w:r w:rsidRPr="00085672">
        <w:rPr>
          <w:b/>
          <w:bCs/>
          <w:sz w:val="20"/>
          <w:szCs w:val="20"/>
          <w:lang w:val="en-GB"/>
        </w:rPr>
        <w:t xml:space="preserve">Acknowledgements </w:t>
      </w:r>
    </w:p>
    <w:p w:rsidR="00092124" w:rsidRPr="00085672" w:rsidRDefault="00092124" w:rsidP="00092124">
      <w:pPr>
        <w:widowControl/>
        <w:jc w:val="both"/>
        <w:rPr>
          <w:sz w:val="20"/>
          <w:szCs w:val="20"/>
          <w:highlight w:val="yellow"/>
          <w:lang w:val="en-GB" w:eastAsia="en-ZA"/>
        </w:rPr>
      </w:pPr>
    </w:p>
    <w:p w:rsidR="00092124" w:rsidRPr="00085672" w:rsidRDefault="00092124" w:rsidP="00092124">
      <w:pPr>
        <w:widowControl/>
        <w:jc w:val="both"/>
        <w:rPr>
          <w:bCs/>
          <w:sz w:val="20"/>
          <w:szCs w:val="20"/>
          <w:lang w:val="en-GB"/>
        </w:rPr>
      </w:pPr>
      <w:r w:rsidRPr="00085672">
        <w:rPr>
          <w:sz w:val="20"/>
          <w:szCs w:val="20"/>
          <w:lang w:val="en-GB" w:eastAsia="en-ZA"/>
        </w:rPr>
        <w:t>This research was funded by the Department of Pharmacology at the University of Pretoria. The authors declare that there is no financial or personal relationship(s) that may have inappropriately influenced the writing of this paper.</w:t>
      </w:r>
    </w:p>
    <w:p w:rsidR="00092124" w:rsidRDefault="00092124">
      <w:bookmarkStart w:id="0" w:name="_GoBack"/>
      <w:bookmarkEnd w:id="0"/>
    </w:p>
    <w:sectPr w:rsidR="000921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124"/>
    <w:rsid w:val="00092124"/>
    <w:rsid w:val="009236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06DA8A-D80F-4569-93FA-A26B2DA16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2124"/>
    <w:pPr>
      <w:widowControl w:val="0"/>
      <w:autoSpaceDE w:val="0"/>
      <w:autoSpaceDN w:val="0"/>
      <w:adjustRightInd w:val="0"/>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092124"/>
    <w:pPr>
      <w:widowControl/>
      <w:autoSpaceDE/>
      <w:autoSpaceDN/>
      <w:adjustRightInd/>
      <w:spacing w:before="100" w:beforeAutospacing="1" w:after="100" w:afterAutospacing="1"/>
    </w:pPr>
    <w:rPr>
      <w:rFonts w:ascii="Times New Roman" w:hAnsi="Times New Roman" w:cs="Times New Roman"/>
      <w:lang w:val="en-CA" w:eastAsia="en-CA"/>
    </w:rPr>
  </w:style>
  <w:style w:type="paragraph" w:styleId="NoSpacing">
    <w:name w:val="No Spacing"/>
    <w:uiPriority w:val="1"/>
    <w:qFormat/>
    <w:rsid w:val="00092124"/>
    <w:pPr>
      <w:widowControl w:val="0"/>
      <w:autoSpaceDE w:val="0"/>
      <w:autoSpaceDN w:val="0"/>
      <w:adjustRightInd w:val="0"/>
      <w:spacing w:after="0"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 Marais</dc:creator>
  <cp:keywords/>
  <dc:description/>
  <cp:lastModifiedBy>Robyn Marais</cp:lastModifiedBy>
  <cp:revision>1</cp:revision>
  <dcterms:created xsi:type="dcterms:W3CDTF">2014-09-29T11:37:00Z</dcterms:created>
  <dcterms:modified xsi:type="dcterms:W3CDTF">2014-09-29T11:39:00Z</dcterms:modified>
</cp:coreProperties>
</file>