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08" w:rsidRPr="00DB1F44" w:rsidRDefault="00745508" w:rsidP="00745508">
      <w:pPr>
        <w:jc w:val="both"/>
        <w:rPr>
          <w:rFonts w:cs="Calibri"/>
          <w:b/>
          <w:sz w:val="20"/>
          <w:szCs w:val="20"/>
        </w:rPr>
      </w:pPr>
      <w:r w:rsidRPr="00DB1F44">
        <w:rPr>
          <w:rFonts w:cs="Calibri"/>
          <w:b/>
          <w:sz w:val="20"/>
          <w:szCs w:val="20"/>
        </w:rPr>
        <w:t>Table 1: The international classification of headache disorders criteria for the diagnosis of PDPH</w:t>
      </w:r>
      <w:r w:rsidR="00491484" w:rsidRPr="00DB1F44">
        <w:rPr>
          <w:rFonts w:cs="Calibri"/>
          <w:sz w:val="20"/>
          <w:szCs w:val="20"/>
          <w:vertAlign w:val="superscript"/>
        </w:rPr>
        <w:t>10</w:t>
      </w:r>
      <w:r w:rsidRPr="00DB1F44">
        <w:rPr>
          <w:rFonts w:cs="Calibr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8838"/>
      </w:tblGrid>
      <w:tr w:rsidR="00745508" w:rsidRPr="00DB1F44" w:rsidTr="006B1AB3">
        <w:tc>
          <w:tcPr>
            <w:tcW w:w="8838" w:type="dxa"/>
          </w:tcPr>
          <w:p w:rsidR="00745508" w:rsidRPr="00DB1F44" w:rsidRDefault="00745508" w:rsidP="007455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Headache that worsens within 15 minutes after sitting or standing and improves within 15 minutes after lying down, with at least one of the following and fulfilling criteria C and D.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Neck stiffness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Tinnitus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DB1F44">
              <w:rPr>
                <w:rFonts w:cs="Calibri"/>
                <w:sz w:val="20"/>
                <w:szCs w:val="20"/>
              </w:rPr>
              <w:t>Hypacausia</w:t>
            </w:r>
            <w:proofErr w:type="spellEnd"/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Photophobia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 xml:space="preserve">Nausea </w:t>
            </w:r>
          </w:p>
        </w:tc>
      </w:tr>
      <w:tr w:rsidR="00745508" w:rsidRPr="00DB1F44" w:rsidTr="006B1AB3">
        <w:tc>
          <w:tcPr>
            <w:tcW w:w="8838" w:type="dxa"/>
          </w:tcPr>
          <w:p w:rsidR="00745508" w:rsidRPr="00DB1F44" w:rsidRDefault="00745508" w:rsidP="007455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Dural puncture has been performed</w:t>
            </w:r>
          </w:p>
        </w:tc>
      </w:tr>
      <w:tr w:rsidR="00745508" w:rsidRPr="00DB1F44" w:rsidTr="006B1AB3">
        <w:tc>
          <w:tcPr>
            <w:tcW w:w="8838" w:type="dxa"/>
          </w:tcPr>
          <w:p w:rsidR="00745508" w:rsidRPr="00DB1F44" w:rsidRDefault="00745508" w:rsidP="007455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 xml:space="preserve">Headache develops within five days after </w:t>
            </w:r>
            <w:proofErr w:type="spellStart"/>
            <w:r w:rsidRPr="00DB1F44">
              <w:rPr>
                <w:rFonts w:cs="Calibri"/>
                <w:sz w:val="20"/>
                <w:szCs w:val="20"/>
              </w:rPr>
              <w:t>dural</w:t>
            </w:r>
            <w:proofErr w:type="spellEnd"/>
            <w:r w:rsidRPr="00DB1F44">
              <w:rPr>
                <w:rFonts w:cs="Calibri"/>
                <w:sz w:val="20"/>
                <w:szCs w:val="20"/>
              </w:rPr>
              <w:t xml:space="preserve"> puncture</w:t>
            </w:r>
          </w:p>
        </w:tc>
      </w:tr>
      <w:tr w:rsidR="00745508" w:rsidRPr="00DB1F44" w:rsidTr="006B1AB3">
        <w:tc>
          <w:tcPr>
            <w:tcW w:w="8838" w:type="dxa"/>
          </w:tcPr>
          <w:p w:rsidR="00745508" w:rsidRPr="00DB1F44" w:rsidRDefault="00745508" w:rsidP="007455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Headache resolves either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Spontaneously within one week</w:t>
            </w:r>
          </w:p>
          <w:p w:rsidR="00745508" w:rsidRPr="00DB1F44" w:rsidRDefault="00745508" w:rsidP="007455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 xml:space="preserve">Within 48 hours after effective treatment of the spinal fluid leak; usually by epidural blood patch </w:t>
            </w:r>
          </w:p>
        </w:tc>
      </w:tr>
    </w:tbl>
    <w:p w:rsidR="00745508" w:rsidRPr="00DB1F44" w:rsidRDefault="00745508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745508" w:rsidRPr="00DB1F44" w:rsidRDefault="00745508" w:rsidP="00745508">
      <w:pPr>
        <w:jc w:val="both"/>
        <w:rPr>
          <w:rFonts w:cs="Calibri"/>
          <w:b/>
          <w:sz w:val="20"/>
          <w:szCs w:val="20"/>
          <w:vertAlign w:val="superscript"/>
        </w:rPr>
      </w:pPr>
      <w:r w:rsidRPr="00DB1F44">
        <w:rPr>
          <w:rFonts w:cs="Calibri"/>
          <w:b/>
          <w:sz w:val="20"/>
          <w:szCs w:val="20"/>
        </w:rPr>
        <w:t>Table 2: Incidence rate of PDPH with needle sizes</w:t>
      </w:r>
      <w:r w:rsidRPr="00DB1F44">
        <w:rPr>
          <w:rFonts w:cs="Calibri"/>
          <w:sz w:val="20"/>
          <w:szCs w:val="20"/>
        </w:rPr>
        <w:t xml:space="preserve"> </w:t>
      </w:r>
      <w:r w:rsidR="009212EC" w:rsidRPr="00DB1F44">
        <w:rPr>
          <w:rFonts w:cs="Calibri"/>
          <w:sz w:val="20"/>
          <w:szCs w:val="20"/>
          <w:vertAlign w:val="superscript"/>
        </w:rPr>
        <w:t>2</w:t>
      </w:r>
      <w:proofErr w:type="gramStart"/>
      <w:r w:rsidR="00491484" w:rsidRPr="00DB1F44">
        <w:rPr>
          <w:rFonts w:cs="Calibri"/>
          <w:sz w:val="20"/>
          <w:szCs w:val="20"/>
          <w:vertAlign w:val="superscript"/>
        </w:rPr>
        <w:t>,3,5</w:t>
      </w:r>
      <w:proofErr w:type="gramEnd"/>
    </w:p>
    <w:tbl>
      <w:tblPr>
        <w:tblStyle w:val="TableGrid"/>
        <w:tblW w:w="0" w:type="auto"/>
        <w:tblLook w:val="04A0"/>
      </w:tblPr>
      <w:tblGrid>
        <w:gridCol w:w="1638"/>
        <w:gridCol w:w="3880"/>
        <w:gridCol w:w="1862"/>
        <w:gridCol w:w="1862"/>
      </w:tblGrid>
      <w:tr w:rsidR="00745508" w:rsidRPr="00DB1F44" w:rsidTr="006B1AB3">
        <w:tc>
          <w:tcPr>
            <w:tcW w:w="5518" w:type="dxa"/>
            <w:gridSpan w:val="2"/>
            <w:vMerge w:val="restart"/>
          </w:tcPr>
          <w:p w:rsidR="00745508" w:rsidRPr="00DB1F44" w:rsidRDefault="00745508" w:rsidP="006B1AB3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DB1F44">
              <w:rPr>
                <w:rFonts w:cs="Calibri"/>
                <w:b/>
                <w:sz w:val="20"/>
                <w:szCs w:val="20"/>
              </w:rPr>
              <w:t>Needle bore size</w:t>
            </w:r>
          </w:p>
        </w:tc>
        <w:tc>
          <w:tcPr>
            <w:tcW w:w="3724" w:type="dxa"/>
            <w:gridSpan w:val="2"/>
          </w:tcPr>
          <w:p w:rsidR="00745508" w:rsidRPr="00DB1F44" w:rsidRDefault="00745508" w:rsidP="006B1AB3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DB1F44">
              <w:rPr>
                <w:rFonts w:cs="Calibri"/>
                <w:b/>
                <w:sz w:val="20"/>
                <w:szCs w:val="20"/>
              </w:rPr>
              <w:t>Approximate incidence rate</w:t>
            </w:r>
          </w:p>
        </w:tc>
      </w:tr>
      <w:tr w:rsidR="00745508" w:rsidRPr="00DB1F44" w:rsidTr="006B1AB3">
        <w:tc>
          <w:tcPr>
            <w:tcW w:w="5518" w:type="dxa"/>
            <w:gridSpan w:val="2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DB1F44">
              <w:rPr>
                <w:rFonts w:cs="Calibri"/>
                <w:sz w:val="20"/>
                <w:szCs w:val="20"/>
              </w:rPr>
              <w:t>Quincke</w:t>
            </w:r>
            <w:proofErr w:type="spellEnd"/>
            <w:r w:rsidRPr="00DB1F44">
              <w:rPr>
                <w:rFonts w:cs="Calibri"/>
                <w:sz w:val="20"/>
                <w:szCs w:val="20"/>
              </w:rPr>
              <w:t xml:space="preserve"> (cutting)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DB1F44">
              <w:rPr>
                <w:rFonts w:cs="Calibri"/>
                <w:sz w:val="20"/>
                <w:szCs w:val="20"/>
              </w:rPr>
              <w:t>Whitacre</w:t>
            </w:r>
            <w:proofErr w:type="spellEnd"/>
            <w:r w:rsidRPr="00DB1F44">
              <w:rPr>
                <w:rFonts w:cs="Calibri"/>
                <w:sz w:val="20"/>
                <w:szCs w:val="20"/>
              </w:rPr>
              <w:t xml:space="preserve"> (non-cutting)</w:t>
            </w:r>
          </w:p>
        </w:tc>
      </w:tr>
      <w:tr w:rsidR="00745508" w:rsidRPr="00DB1F44" w:rsidTr="006B1AB3">
        <w:tc>
          <w:tcPr>
            <w:tcW w:w="1638" w:type="dxa"/>
            <w:vMerge w:val="restart"/>
          </w:tcPr>
          <w:p w:rsidR="00745508" w:rsidRPr="00DB1F44" w:rsidRDefault="00571C21" w:rsidP="006B1AB3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DB1F44">
              <w:rPr>
                <w:rFonts w:cs="Calibri"/>
                <w:b/>
                <w:noProof/>
                <w:sz w:val="20"/>
                <w:szCs w:val="20"/>
                <w:lang w:val="en-US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21pt;margin-top:25.7pt;width:7.5pt;height:41.25pt;z-index:251660288;mso-position-horizontal-relative:text;mso-position-vertical-relative:text">
                  <v:textbox style="layout-flow:vertical-ideographic"/>
                </v:shape>
              </w:pict>
            </w:r>
            <w:r w:rsidR="00745508" w:rsidRPr="00DB1F44">
              <w:rPr>
                <w:rFonts w:cs="Calibri"/>
                <w:b/>
                <w:sz w:val="20"/>
                <w:szCs w:val="20"/>
              </w:rPr>
              <w:t>Size decreases</w:t>
            </w: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16-19 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&gt;70%</w:t>
            </w:r>
          </w:p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62" w:type="dxa"/>
          </w:tcPr>
          <w:p w:rsidR="00745508" w:rsidRPr="00DB1F44" w:rsidRDefault="007E40BD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-</w:t>
            </w:r>
          </w:p>
        </w:tc>
      </w:tr>
      <w:tr w:rsidR="00745508" w:rsidRPr="00DB1F44" w:rsidTr="006B1AB3"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20G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40%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 – 5%</w:t>
            </w:r>
          </w:p>
        </w:tc>
      </w:tr>
      <w:tr w:rsidR="00745508" w:rsidRPr="00DB1F44" w:rsidTr="006B1AB3"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22G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36%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0.6</w:t>
            </w:r>
            <w:r w:rsidR="004C643A" w:rsidRPr="00DB1F44">
              <w:rPr>
                <w:rFonts w:cs="Calibri"/>
                <w:sz w:val="20"/>
                <w:szCs w:val="20"/>
              </w:rPr>
              <w:t>3</w:t>
            </w:r>
            <w:r w:rsidRPr="00DB1F44">
              <w:rPr>
                <w:rFonts w:cs="Calibri"/>
                <w:sz w:val="20"/>
                <w:szCs w:val="20"/>
              </w:rPr>
              <w:t xml:space="preserve"> – 4%</w:t>
            </w:r>
          </w:p>
        </w:tc>
      </w:tr>
      <w:tr w:rsidR="00CA4EE8" w:rsidRPr="00DB1F44" w:rsidTr="00BA3EEA">
        <w:tc>
          <w:tcPr>
            <w:tcW w:w="1638" w:type="dxa"/>
            <w:vMerge/>
          </w:tcPr>
          <w:p w:rsidR="00CA4EE8" w:rsidRPr="00DB1F44" w:rsidRDefault="00CA4EE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CA4EE8" w:rsidRPr="00DB1F44" w:rsidRDefault="00CA4EE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24G</w:t>
            </w:r>
          </w:p>
        </w:tc>
        <w:tc>
          <w:tcPr>
            <w:tcW w:w="3724" w:type="dxa"/>
            <w:gridSpan w:val="2"/>
          </w:tcPr>
          <w:p w:rsidR="00CA4EE8" w:rsidRPr="00DB1F44" w:rsidRDefault="00CA4EE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0 – 9.6% (</w:t>
            </w:r>
            <w:proofErr w:type="spellStart"/>
            <w:r w:rsidRPr="00DB1F44">
              <w:rPr>
                <w:rFonts w:cs="Calibri"/>
                <w:sz w:val="20"/>
                <w:szCs w:val="20"/>
              </w:rPr>
              <w:t>Sproute</w:t>
            </w:r>
            <w:proofErr w:type="spellEnd"/>
            <w:r w:rsidRPr="00DB1F44">
              <w:rPr>
                <w:rFonts w:cs="Calibri"/>
                <w:sz w:val="20"/>
                <w:szCs w:val="20"/>
              </w:rPr>
              <w:t xml:space="preserve"> needle)</w:t>
            </w:r>
          </w:p>
        </w:tc>
      </w:tr>
      <w:tr w:rsidR="00745508" w:rsidRPr="00DB1F44" w:rsidTr="006B1AB3"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25G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3 - 25%</w:t>
            </w:r>
          </w:p>
        </w:tc>
        <w:tc>
          <w:tcPr>
            <w:tcW w:w="1862" w:type="dxa"/>
          </w:tcPr>
          <w:p w:rsidR="00745508" w:rsidRPr="00DB1F44" w:rsidRDefault="00745508" w:rsidP="004C643A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 xml:space="preserve">0 – </w:t>
            </w:r>
            <w:r w:rsidR="004C643A" w:rsidRPr="00DB1F44">
              <w:rPr>
                <w:rFonts w:cs="Calibri"/>
                <w:sz w:val="20"/>
                <w:szCs w:val="20"/>
              </w:rPr>
              <w:t>1</w:t>
            </w:r>
            <w:r w:rsidR="003D0604" w:rsidRPr="00DB1F44">
              <w:rPr>
                <w:rFonts w:cs="Calibri"/>
                <w:sz w:val="20"/>
                <w:szCs w:val="20"/>
              </w:rPr>
              <w:t>4.</w:t>
            </w:r>
            <w:r w:rsidR="004C643A" w:rsidRPr="00DB1F44">
              <w:rPr>
                <w:rFonts w:cs="Calibri"/>
                <w:sz w:val="20"/>
                <w:szCs w:val="20"/>
              </w:rPr>
              <w:t>5</w:t>
            </w:r>
            <w:r w:rsidR="003D0604" w:rsidRPr="00DB1F44">
              <w:rPr>
                <w:rFonts w:cs="Calibri"/>
                <w:sz w:val="20"/>
                <w:szCs w:val="20"/>
              </w:rPr>
              <w:t>%</w:t>
            </w:r>
          </w:p>
        </w:tc>
      </w:tr>
      <w:tr w:rsidR="00745508" w:rsidRPr="00DB1F44" w:rsidTr="006B1AB3"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26G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0.3 – 20%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2.5  - 4%</w:t>
            </w:r>
          </w:p>
          <w:p w:rsidR="00434B50" w:rsidRPr="00DB1F44" w:rsidRDefault="00434B50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745508" w:rsidRPr="00DB1F44" w:rsidTr="006B1AB3"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27G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1.5 -5.6%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0</w:t>
            </w:r>
          </w:p>
        </w:tc>
      </w:tr>
      <w:tr w:rsidR="00745508" w:rsidRPr="00DB1F44" w:rsidTr="006B1AB3">
        <w:trPr>
          <w:trHeight w:val="395"/>
        </w:trPr>
        <w:tc>
          <w:tcPr>
            <w:tcW w:w="1638" w:type="dxa"/>
            <w:vMerge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880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29G</w:t>
            </w:r>
          </w:p>
        </w:tc>
        <w:tc>
          <w:tcPr>
            <w:tcW w:w="1862" w:type="dxa"/>
          </w:tcPr>
          <w:p w:rsidR="00745508" w:rsidRPr="00DB1F44" w:rsidRDefault="00745508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0 – 2%</w:t>
            </w:r>
          </w:p>
        </w:tc>
        <w:tc>
          <w:tcPr>
            <w:tcW w:w="1862" w:type="dxa"/>
          </w:tcPr>
          <w:p w:rsidR="00745508" w:rsidRPr="00DB1F44" w:rsidRDefault="00F046E7" w:rsidP="006B1AB3">
            <w:pPr>
              <w:jc w:val="both"/>
              <w:rPr>
                <w:rFonts w:cs="Calibri"/>
                <w:sz w:val="20"/>
                <w:szCs w:val="20"/>
              </w:rPr>
            </w:pPr>
            <w:r w:rsidRPr="00DB1F44"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434B50" w:rsidRPr="00DB1F44" w:rsidRDefault="00434B50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491484" w:rsidRPr="00DB1F44" w:rsidRDefault="00491484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B762F2" w:rsidRPr="00DB1F44" w:rsidRDefault="00434B50" w:rsidP="00DB1F44">
      <w:pPr>
        <w:jc w:val="both"/>
        <w:rPr>
          <w:rFonts w:cs="Calibri"/>
          <w:b/>
          <w:sz w:val="20"/>
          <w:szCs w:val="20"/>
          <w:u w:val="single"/>
        </w:rPr>
      </w:pPr>
      <w:r w:rsidRPr="00DB1F44">
        <w:rPr>
          <w:rFonts w:cs="Calibri"/>
          <w:b/>
          <w:sz w:val="20"/>
          <w:szCs w:val="20"/>
          <w:u w:val="single"/>
        </w:rPr>
        <w:t>Figure 1:  C</w:t>
      </w:r>
      <w:r w:rsidR="00745508" w:rsidRPr="00DB1F44">
        <w:rPr>
          <w:rFonts w:cs="Calibri"/>
          <w:b/>
          <w:sz w:val="20"/>
          <w:szCs w:val="20"/>
          <w:u w:val="single"/>
        </w:rPr>
        <w:t>ommon spinal needle</w:t>
      </w:r>
      <w:r w:rsidRPr="00DB1F44">
        <w:rPr>
          <w:rFonts w:cs="Calibri"/>
          <w:b/>
          <w:sz w:val="20"/>
          <w:szCs w:val="20"/>
          <w:u w:val="single"/>
        </w:rPr>
        <w:t xml:space="preserve"> tip design</w:t>
      </w:r>
      <w:r w:rsidR="00745508" w:rsidRPr="00DB1F44">
        <w:rPr>
          <w:rFonts w:cs="Calibri"/>
          <w:b/>
          <w:sz w:val="20"/>
          <w:szCs w:val="20"/>
          <w:u w:val="single"/>
        </w:rPr>
        <w:t>s</w:t>
      </w:r>
      <w:r w:rsidR="00103DF4" w:rsidRPr="00DB1F44">
        <w:rPr>
          <w:rFonts w:cs="Calibri"/>
          <w:b/>
          <w:sz w:val="20"/>
          <w:szCs w:val="20"/>
          <w:u w:val="single"/>
        </w:rPr>
        <w:t xml:space="preserve"> (</w:t>
      </w:r>
      <w:r w:rsidRPr="00DB1F44">
        <w:rPr>
          <w:rFonts w:cs="Calibri"/>
          <w:b/>
          <w:sz w:val="20"/>
          <w:szCs w:val="20"/>
          <w:u w:val="single"/>
        </w:rPr>
        <w:t>Reproduced from Anaesthesia UK</w:t>
      </w:r>
      <w:proofErr w:type="gramStart"/>
      <w:r w:rsidR="00103DF4" w:rsidRPr="00DB1F44">
        <w:rPr>
          <w:rFonts w:cs="Calibri"/>
          <w:b/>
          <w:sz w:val="20"/>
          <w:szCs w:val="20"/>
          <w:u w:val="single"/>
        </w:rPr>
        <w:t>)</w:t>
      </w:r>
      <w:r w:rsidR="009212EC" w:rsidRPr="00DB1F44">
        <w:rPr>
          <w:rFonts w:cs="Calibri"/>
          <w:sz w:val="20"/>
          <w:szCs w:val="20"/>
          <w:u w:val="single"/>
          <w:vertAlign w:val="superscript"/>
        </w:rPr>
        <w:t>1</w:t>
      </w:r>
      <w:r w:rsidR="00491484" w:rsidRPr="00DB1F44">
        <w:rPr>
          <w:rFonts w:cs="Calibri"/>
          <w:sz w:val="20"/>
          <w:szCs w:val="20"/>
          <w:u w:val="single"/>
          <w:vertAlign w:val="superscript"/>
        </w:rPr>
        <w:t>7</w:t>
      </w:r>
      <w:proofErr w:type="gramEnd"/>
    </w:p>
    <w:p w:rsidR="00434B50" w:rsidRPr="00DB1F44" w:rsidRDefault="00434B50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434B50" w:rsidRPr="00DB1F44" w:rsidRDefault="00434B50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434B50" w:rsidRPr="00DB1F44" w:rsidRDefault="00434B50" w:rsidP="00745508">
      <w:pPr>
        <w:pStyle w:val="ListParagraph"/>
        <w:jc w:val="both"/>
        <w:rPr>
          <w:rFonts w:cs="Calibri"/>
          <w:b/>
          <w:sz w:val="20"/>
          <w:szCs w:val="20"/>
          <w:u w:val="single"/>
        </w:rPr>
      </w:pPr>
    </w:p>
    <w:p w:rsidR="00434B50" w:rsidRPr="00DB1F44" w:rsidRDefault="00434B50" w:rsidP="00745508">
      <w:pPr>
        <w:pStyle w:val="ListParagraph"/>
        <w:jc w:val="both"/>
        <w:rPr>
          <w:rFonts w:cs="Calibri"/>
          <w:sz w:val="20"/>
          <w:szCs w:val="20"/>
        </w:rPr>
      </w:pPr>
      <w:r w:rsidRPr="00DB1F44">
        <w:rPr>
          <w:rFonts w:cs="Calibri"/>
          <w:b/>
          <w:noProof/>
          <w:sz w:val="20"/>
          <w:szCs w:val="20"/>
          <w:u w:val="single"/>
          <w:lang w:val="en-US"/>
        </w:rPr>
        <w:drawing>
          <wp:inline distT="0" distB="0" distL="0" distR="0">
            <wp:extent cx="3619500" cy="1838325"/>
            <wp:effectExtent l="19050" t="0" r="0" b="0"/>
            <wp:docPr id="2" name="Picture 1" descr="Designs for spinal nee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s for spinal need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B50" w:rsidRPr="00DB1F44" w:rsidSect="00326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2471"/>
    <w:multiLevelType w:val="hybridMultilevel"/>
    <w:tmpl w:val="FF5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51A9"/>
    <w:multiLevelType w:val="hybridMultilevel"/>
    <w:tmpl w:val="6C14A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1221"/>
    <w:multiLevelType w:val="hybridMultilevel"/>
    <w:tmpl w:val="7EA2A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508"/>
    <w:rsid w:val="000B203A"/>
    <w:rsid w:val="00103DF4"/>
    <w:rsid w:val="001618A3"/>
    <w:rsid w:val="0032657B"/>
    <w:rsid w:val="003D0604"/>
    <w:rsid w:val="00434B50"/>
    <w:rsid w:val="00491484"/>
    <w:rsid w:val="004C643A"/>
    <w:rsid w:val="004D73FC"/>
    <w:rsid w:val="00571C21"/>
    <w:rsid w:val="00615C8F"/>
    <w:rsid w:val="00745508"/>
    <w:rsid w:val="00763469"/>
    <w:rsid w:val="007E40BD"/>
    <w:rsid w:val="007F0D43"/>
    <w:rsid w:val="00812426"/>
    <w:rsid w:val="00904520"/>
    <w:rsid w:val="00914F0D"/>
    <w:rsid w:val="009212EC"/>
    <w:rsid w:val="00994F4C"/>
    <w:rsid w:val="00B26409"/>
    <w:rsid w:val="00CA4EE8"/>
    <w:rsid w:val="00CC2455"/>
    <w:rsid w:val="00DB1F44"/>
    <w:rsid w:val="00ED260E"/>
    <w:rsid w:val="00F028EF"/>
    <w:rsid w:val="00F046E7"/>
    <w:rsid w:val="00FB2D8A"/>
    <w:rsid w:val="00FE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08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508"/>
    <w:pPr>
      <w:ind w:left="720"/>
      <w:contextualSpacing/>
    </w:pPr>
  </w:style>
  <w:style w:type="table" w:styleId="TableGrid">
    <w:name w:val="Table Grid"/>
    <w:basedOn w:val="TableNormal"/>
    <w:uiPriority w:val="59"/>
    <w:rsid w:val="00745508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4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508"/>
    <w:rPr>
      <w:rFonts w:ascii="Calibri" w:eastAsia="Calibri" w:hAnsi="Calibri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2014-05-20T20:16:00Z</dcterms:created>
  <dcterms:modified xsi:type="dcterms:W3CDTF">2014-05-20T20:16:00Z</dcterms:modified>
</cp:coreProperties>
</file>