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EF" w:rsidRDefault="00DF5CEF" w:rsidP="00DF5CEF">
      <w:pPr>
        <w:rPr>
          <w:rFonts w:ascii="Times New Roman" w:hAnsi="Times New Roman" w:cs="Times New Roman"/>
          <w:sz w:val="22"/>
          <w:szCs w:val="22"/>
        </w:rPr>
      </w:pPr>
    </w:p>
    <w:p w:rsidR="00DF5CEF" w:rsidRDefault="00DF5CEF" w:rsidP="00DF5CEF">
      <w:pPr>
        <w:rPr>
          <w:rFonts w:ascii="Times New Roman" w:hAnsi="Times New Roman" w:cs="Times New Roman"/>
          <w:sz w:val="22"/>
          <w:szCs w:val="22"/>
        </w:rPr>
      </w:pPr>
    </w:p>
    <w:p w:rsidR="00DF5CEF" w:rsidRDefault="00AD59A9" w:rsidP="00DF5CEF">
      <w:pPr>
        <w:rPr>
          <w:rFonts w:ascii="Times New Roman" w:hAnsi="Times New Roman" w:cs="Times New Roman"/>
          <w:sz w:val="22"/>
          <w:szCs w:val="22"/>
        </w:rPr>
      </w:pPr>
      <w:r w:rsidRPr="00AD59A9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margin-left:95.9pt;margin-top:0;width:222.75pt;height:18.75pt;z-index:251642368" fillcolor="#b8cce4" strokecolor="#243f60">
            <v:shadow on="t" offset=",3pt" offset2=",2pt"/>
            <v:textbox>
              <w:txbxContent>
                <w:p w:rsidR="00DF5CEF" w:rsidRPr="008014F5" w:rsidRDefault="00DF5CEF" w:rsidP="00DF5CEF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8014F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Patients who require frequent or ongoing NSAID therapy</w:t>
                  </w:r>
                </w:p>
              </w:txbxContent>
            </v:textbox>
          </v:shape>
        </w:pict>
      </w:r>
    </w:p>
    <w:p w:rsidR="00DF5CEF" w:rsidRDefault="00AD59A9" w:rsidP="00DF5CEF">
      <w:pPr>
        <w:rPr>
          <w:rFonts w:ascii="Times New Roman" w:hAnsi="Times New Roman" w:cs="Times New Roman"/>
          <w:sz w:val="22"/>
          <w:szCs w:val="22"/>
        </w:rPr>
      </w:pPr>
      <w:r w:rsidRPr="00AD59A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01.3pt;margin-top:9.7pt;width:0;height:170.3pt;z-index:251644416" o:connectortype="straight"/>
        </w:pict>
      </w:r>
    </w:p>
    <w:p w:rsidR="00DF5CEF" w:rsidRDefault="00AD59A9" w:rsidP="00DF5CEF">
      <w:pPr>
        <w:rPr>
          <w:rFonts w:ascii="Times New Roman" w:hAnsi="Times New Roman" w:cs="Times New Roman"/>
          <w:sz w:val="22"/>
          <w:szCs w:val="22"/>
        </w:rPr>
      </w:pPr>
      <w:r w:rsidRPr="00AD59A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232.75pt;margin-top:5.5pt;width:174.95pt;height:147.75pt;z-index:251675136">
            <v:textbox>
              <w:txbxContent>
                <w:p w:rsidR="00DF5CEF" w:rsidRPr="00AD6548" w:rsidRDefault="00DF5CEF" w:rsidP="00DF5CEF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D654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Risk factors </w:t>
                  </w:r>
                  <w:r w:rsidR="00AD6548" w:rsidRPr="00AD654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for cardiovascular risk assessment </w:t>
                  </w:r>
                  <w:r w:rsidRPr="00AD654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include:</w:t>
                  </w:r>
                </w:p>
                <w:p w:rsidR="00DF5CEF" w:rsidRPr="00AD6548" w:rsidRDefault="00DF5CEF" w:rsidP="00DF5CE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F5CEF" w:rsidRPr="00AD6548" w:rsidRDefault="00DF5CEF" w:rsidP="00DF5CEF">
                  <w:pPr>
                    <w:numPr>
                      <w:ilvl w:val="0"/>
                      <w:numId w:val="2"/>
                    </w:numPr>
                    <w:ind w:left="142" w:hanging="14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D65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Established coronary artery disease</w:t>
                  </w:r>
                </w:p>
                <w:p w:rsidR="00DF5CEF" w:rsidRPr="00AD6548" w:rsidRDefault="00DF5CEF" w:rsidP="00DF5CEF">
                  <w:pPr>
                    <w:numPr>
                      <w:ilvl w:val="0"/>
                      <w:numId w:val="2"/>
                    </w:numPr>
                    <w:ind w:left="142" w:hanging="14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D65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Lose-dose, prophylactic aspirin therapy</w:t>
                  </w:r>
                </w:p>
                <w:p w:rsidR="00DF5CEF" w:rsidRPr="00AD6548" w:rsidRDefault="00DF5CEF" w:rsidP="00DF5CEF">
                  <w:pPr>
                    <w:numPr>
                      <w:ilvl w:val="0"/>
                      <w:numId w:val="2"/>
                    </w:numPr>
                    <w:ind w:left="142" w:hanging="14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D654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Estimated 10-year </w:t>
                  </w:r>
                  <w:r w:rsidR="00AD6548" w:rsidRPr="00AD65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cardiovascular</w:t>
                  </w:r>
                  <w:r w:rsidRPr="00AD654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risk of &gt; 20%</w:t>
                  </w:r>
                </w:p>
                <w:p w:rsidR="00DF5CEF" w:rsidRPr="00AD6548" w:rsidRDefault="00DF5CEF" w:rsidP="00DF5CE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AD6548" w:rsidRDefault="00AD6548" w:rsidP="00AD6548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D654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Risk factors for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gastrointestinal</w:t>
                  </w:r>
                  <w:r w:rsidRPr="00AD654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risk assessment include:</w:t>
                  </w:r>
                </w:p>
                <w:p w:rsidR="00AD6548" w:rsidRPr="00AD6548" w:rsidRDefault="00AD6548" w:rsidP="00AD6548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DF5CEF" w:rsidRPr="00AD6548" w:rsidRDefault="00DF5CEF" w:rsidP="00DF5CEF">
                  <w:pPr>
                    <w:numPr>
                      <w:ilvl w:val="0"/>
                      <w:numId w:val="3"/>
                    </w:numPr>
                    <w:ind w:left="142" w:hanging="14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D65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Age ≥ 65-70 years</w:t>
                  </w:r>
                </w:p>
                <w:p w:rsidR="00DF5CEF" w:rsidRPr="00AD6548" w:rsidRDefault="00DF5CEF" w:rsidP="00DF5CEF">
                  <w:pPr>
                    <w:numPr>
                      <w:ilvl w:val="0"/>
                      <w:numId w:val="3"/>
                    </w:numPr>
                    <w:ind w:left="142" w:hanging="14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D654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Prior upper </w:t>
                  </w:r>
                  <w:r w:rsidR="00AD65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gastrointestinal</w:t>
                  </w:r>
                  <w:r w:rsidRPr="00AD654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event</w:t>
                  </w:r>
                </w:p>
                <w:p w:rsidR="00DF5CEF" w:rsidRPr="00AD6548" w:rsidRDefault="00AD6548" w:rsidP="00DF5CEF">
                  <w:pPr>
                    <w:numPr>
                      <w:ilvl w:val="0"/>
                      <w:numId w:val="3"/>
                    </w:numPr>
                    <w:ind w:left="142" w:hanging="14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Concomitant use of aspirin, </w:t>
                  </w:r>
                  <w:r w:rsidR="00DF5CEF" w:rsidRPr="00AD65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corticosteroids or anticoagulants</w:t>
                  </w:r>
                </w:p>
              </w:txbxContent>
            </v:textbox>
          </v:shape>
        </w:pict>
      </w:r>
    </w:p>
    <w:p w:rsidR="00DF5CEF" w:rsidRDefault="00DF5CEF" w:rsidP="00DF5CEF">
      <w:pPr>
        <w:rPr>
          <w:rFonts w:ascii="Times New Roman" w:hAnsi="Times New Roman" w:cs="Times New Roman"/>
          <w:sz w:val="22"/>
          <w:szCs w:val="22"/>
        </w:rPr>
      </w:pPr>
    </w:p>
    <w:p w:rsidR="00DF5CEF" w:rsidRDefault="00AD59A9" w:rsidP="00DF5CE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D59A9">
        <w:pict>
          <v:shape id="_x0000_s1029" type="#_x0000_t176" style="position:absolute;margin-left:-1.5pt;margin-top:6.55pt;width:157.7pt;height:47.15pt;z-index:251643392" fillcolor="#b8cce4" strokecolor="#243f60">
            <v:shadow on="t" offset=",3pt" offset2=",2pt"/>
            <v:textbox>
              <w:txbxContent>
                <w:p w:rsidR="00DF5CEF" w:rsidRPr="008014F5" w:rsidRDefault="00DF5CEF" w:rsidP="008014F5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8014F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Assess:</w:t>
                  </w:r>
                </w:p>
                <w:p w:rsidR="00293F1E" w:rsidRPr="008014F5" w:rsidRDefault="00293F1E" w:rsidP="008014F5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DF5CEF" w:rsidRPr="008014F5" w:rsidRDefault="00293F1E" w:rsidP="008014F5">
                  <w:pPr>
                    <w:pStyle w:val="ListParagraph"/>
                    <w:numPr>
                      <w:ilvl w:val="0"/>
                      <w:numId w:val="5"/>
                    </w:numPr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014F5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Cardiovascular</w:t>
                  </w:r>
                  <w:r w:rsidR="00DF5CEF" w:rsidRPr="008014F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risk profile</w:t>
                  </w:r>
                </w:p>
                <w:p w:rsidR="00DF5CEF" w:rsidRPr="008014F5" w:rsidRDefault="00293F1E" w:rsidP="008014F5">
                  <w:pPr>
                    <w:pStyle w:val="ListParagraph"/>
                    <w:numPr>
                      <w:ilvl w:val="0"/>
                      <w:numId w:val="5"/>
                    </w:numPr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014F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Gastrointestinal </w:t>
                  </w:r>
                  <w:r w:rsidR="00DF5CEF" w:rsidRPr="008014F5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risk profile</w:t>
                  </w:r>
                </w:p>
              </w:txbxContent>
            </v:textbox>
          </v:shape>
        </w:pict>
      </w:r>
    </w:p>
    <w:p w:rsidR="00DF5CEF" w:rsidRDefault="00DF5CEF" w:rsidP="00DF5CEF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DF5CEF" w:rsidRDefault="00AD59A9" w:rsidP="00DF5CE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D59A9">
        <w:pict>
          <v:shape id="_x0000_s1026" type="#_x0000_t32" style="position:absolute;margin-left:201.3pt;margin-top:10.5pt;width:28.45pt;height:0;z-index:251640320" o:connectortype="straight" strokeweight="2.25pt"/>
        </w:pict>
      </w:r>
      <w:r w:rsidRPr="00AD59A9"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139.05pt;margin-top:2.65pt;width:62.25pt;height:13.5pt;z-index:251641344"/>
        </w:pict>
      </w:r>
    </w:p>
    <w:p w:rsidR="00DF5CEF" w:rsidRDefault="00DF5CEF" w:rsidP="00DF5CEF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DF5CEF" w:rsidRDefault="00DF5CEF" w:rsidP="00DF5CEF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DF5CEF" w:rsidRDefault="00DF5CEF" w:rsidP="00DF5CEF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DF5CEF" w:rsidRDefault="00DF5CEF" w:rsidP="00DF5CEF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DF5CEF" w:rsidRDefault="00DF5CEF" w:rsidP="00DF5CEF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DF5CEF" w:rsidRDefault="00DF5CEF" w:rsidP="00DF5CEF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DF5CEF" w:rsidRDefault="00DF5CEF" w:rsidP="00DF5CEF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DF5CEF" w:rsidRDefault="00DF5CEF" w:rsidP="00DF5CEF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DF5CEF" w:rsidRDefault="00AD59A9" w:rsidP="00DF5CE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D59A9">
        <w:pict>
          <v:shape id="_x0000_s1031" type="#_x0000_t32" style="position:absolute;margin-left:74.5pt;margin-top:2.9pt;width:270.05pt;height:.05pt;z-index:251645440" o:connectortype="straight"/>
        </w:pict>
      </w:r>
      <w:r w:rsidRPr="00AD59A9">
        <w:pict>
          <v:shape id="_x0000_s1032" type="#_x0000_t32" style="position:absolute;margin-left:74.5pt;margin-top:2.9pt;width:0;height:19.5pt;z-index:251646464" o:connectortype="straight">
            <v:stroke endarrow="block"/>
          </v:shape>
        </w:pict>
      </w:r>
      <w:r w:rsidRPr="00AD59A9">
        <w:pict>
          <v:shape id="_x0000_s1033" type="#_x0000_t32" style="position:absolute;margin-left:344.55pt;margin-top:2.9pt;width:0;height:19.5pt;z-index:251647488" o:connectortype="straight">
            <v:stroke endarrow="block"/>
          </v:shape>
        </w:pict>
      </w:r>
    </w:p>
    <w:p w:rsidR="00DF5CEF" w:rsidRDefault="00DF5CEF" w:rsidP="00DF5CEF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DF5CEF" w:rsidRDefault="00AD59A9" w:rsidP="00DF5CE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D59A9">
        <w:pict>
          <v:shape id="_x0000_s1034" type="#_x0000_t176" style="position:absolute;margin-left:-1.5pt;margin-top:.5pt;width:139.5pt;height:21.25pt;z-index:251648512" fillcolor="#b8cce4" strokecolor="#243f60">
            <v:shadow on="t" offset=",3pt" offset2=",2pt"/>
            <v:textbox>
              <w:txbxContent>
                <w:p w:rsidR="00DF5CEF" w:rsidRPr="008014F5" w:rsidRDefault="00AD6548" w:rsidP="00DF5CEF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8014F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High cardiovascular risk</w:t>
                  </w:r>
                </w:p>
              </w:txbxContent>
            </v:textbox>
          </v:shape>
        </w:pict>
      </w:r>
      <w:r w:rsidRPr="00AD59A9">
        <w:pict>
          <v:shape id="_x0000_s1035" type="#_x0000_t176" style="position:absolute;margin-left:283.75pt;margin-top:.5pt;width:139.5pt;height:21.25pt;z-index:251649536" fillcolor="#b8cce4" strokecolor="#243f60">
            <v:shadow on="t" offset=",3pt" offset2=",2pt"/>
            <v:textbox>
              <w:txbxContent>
                <w:p w:rsidR="00DF5CEF" w:rsidRPr="008014F5" w:rsidRDefault="00AD6548" w:rsidP="00DF5CEF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8014F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Average cardiovascular risk</w:t>
                  </w:r>
                </w:p>
              </w:txbxContent>
            </v:textbox>
          </v:shape>
        </w:pict>
      </w:r>
    </w:p>
    <w:p w:rsidR="00DF5CEF" w:rsidRDefault="00AD59A9" w:rsidP="00DF5CE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D59A9">
        <w:pict>
          <v:shape id="_x0000_s1038" type="#_x0000_t32" style="position:absolute;margin-left:74.5pt;margin-top:9.1pt;width:0;height:19.6pt;z-index:251652608" o:connectortype="straight">
            <v:stroke endarrow="block"/>
          </v:shape>
        </w:pict>
      </w:r>
      <w:r w:rsidRPr="00AD59A9">
        <w:pict>
          <v:shape id="_x0000_s1039" type="#_x0000_t32" style="position:absolute;margin-left:344.55pt;margin-top:11.8pt;width:0;height:19.6pt;z-index:251653632" o:connectortype="straight">
            <v:stroke endarrow="block"/>
          </v:shape>
        </w:pict>
      </w:r>
    </w:p>
    <w:p w:rsidR="00DF5CEF" w:rsidRDefault="00DF5CEF" w:rsidP="00DF5CEF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DF5CEF" w:rsidRDefault="00AD59A9" w:rsidP="00DF5CE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D59A9">
        <w:pict>
          <v:shape id="_x0000_s1036" type="#_x0000_t176" style="position:absolute;margin-left:-1.5pt;margin-top:3.4pt;width:139.5pt;height:21.35pt;z-index:251650560" fillcolor="#b8cce4" strokecolor="#243f60">
            <v:shadow on="t" offset=",3pt" offset2=",2pt"/>
            <v:textbox>
              <w:txbxContent>
                <w:p w:rsidR="00DF5CEF" w:rsidRPr="008014F5" w:rsidRDefault="00DF5CEF" w:rsidP="00DF5CE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014F5">
                    <w:rPr>
                      <w:rFonts w:ascii="Times New Roman" w:hAnsi="Times New Roman" w:cs="Times New Roman"/>
                      <w:sz w:val="16"/>
                      <w:szCs w:val="16"/>
                    </w:rPr>
                    <w:t>Naproxen is preferred</w:t>
                  </w:r>
                </w:p>
              </w:txbxContent>
            </v:textbox>
          </v:shape>
        </w:pict>
      </w:r>
      <w:r w:rsidRPr="00AD59A9">
        <w:pict>
          <v:shape id="_x0000_s1037" type="#_x0000_t176" style="position:absolute;margin-left:280.2pt;margin-top:6.1pt;width:139.5pt;height:22.3pt;z-index:251651584" fillcolor="#b8cce4" strokecolor="#243f60">
            <v:shadow on="t" offset=",3pt" offset2=",2pt"/>
            <v:textbox>
              <w:txbxContent>
                <w:p w:rsidR="00DF5CEF" w:rsidRPr="008014F5" w:rsidRDefault="00DF5CEF" w:rsidP="00DF5CE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014F5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Any suitable NSAID</w:t>
                  </w:r>
                </w:p>
              </w:txbxContent>
            </v:textbox>
          </v:shape>
        </w:pict>
      </w:r>
    </w:p>
    <w:p w:rsidR="00DF5CEF" w:rsidRDefault="00AD59A9" w:rsidP="00DF5CE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D59A9">
        <w:pict>
          <v:shape id="_x0000_s1040" type="#_x0000_t32" style="position:absolute;margin-left:74.5pt;margin-top:12.1pt;width:0;height:21.75pt;z-index:251654656" o:connectortype="straight"/>
        </w:pict>
      </w:r>
    </w:p>
    <w:p w:rsidR="00DF5CEF" w:rsidRDefault="00AD59A9" w:rsidP="00DF5CE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D59A9">
        <w:pict>
          <v:shape id="_x0000_s1046" type="#_x0000_t32" style="position:absolute;margin-left:344.55pt;margin-top:3.15pt;width:0;height:21.75pt;z-index:251660800" o:connectortype="straight"/>
        </w:pict>
      </w:r>
    </w:p>
    <w:p w:rsidR="00DF5CEF" w:rsidRDefault="00AD59A9" w:rsidP="00DF5CE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D59A9">
        <w:pict>
          <v:shape id="_x0000_s1045" type="#_x0000_t32" style="position:absolute;margin-left:159.25pt;margin-top:9.05pt;width:0;height:19.6pt;z-index:251659776" o:connectortype="straight">
            <v:stroke endarrow="block"/>
          </v:shape>
        </w:pict>
      </w:r>
      <w:r w:rsidRPr="00AD59A9">
        <w:pict>
          <v:shape id="_x0000_s1044" type="#_x0000_t32" style="position:absolute;margin-left:15.25pt;margin-top:9.05pt;width:0;height:19.6pt;z-index:251658752" o:connectortype="straight">
            <v:stroke endarrow="block"/>
          </v:shape>
        </w:pict>
      </w:r>
      <w:r w:rsidRPr="00AD59A9">
        <w:pict>
          <v:shape id="_x0000_s1041" type="#_x0000_t32" style="position:absolute;margin-left:15.25pt;margin-top:9.05pt;width:2in;height:0;z-index:251655680" o:connectortype="straight"/>
        </w:pict>
      </w:r>
      <w:r w:rsidRPr="00AD59A9">
        <w:pict>
          <v:shape id="_x0000_s1047" type="#_x0000_t32" style="position:absolute;margin-left:289.2pt;margin-top:12.25pt;width:148.5pt;height:0;z-index:251661824" o:connectortype="straight"/>
        </w:pict>
      </w:r>
    </w:p>
    <w:p w:rsidR="00DF5CEF" w:rsidRDefault="00AD59A9" w:rsidP="00DF5CE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D59A9">
        <w:pict>
          <v:shape id="_x0000_s1050" type="#_x0000_t32" style="position:absolute;margin-left:289.2pt;margin-top:.15pt;width:0;height:19.6pt;z-index:251664896" o:connectortype="straight">
            <v:stroke endarrow="block"/>
          </v:shape>
        </w:pict>
      </w:r>
      <w:r w:rsidRPr="00AD59A9">
        <w:pict>
          <v:shape id="_x0000_s1051" type="#_x0000_t32" style="position:absolute;margin-left:437.7pt;margin-top:.15pt;width:0;height:19.6pt;z-index:251665920" o:connectortype="straight">
            <v:stroke endarrow="block"/>
          </v:shape>
        </w:pict>
      </w:r>
    </w:p>
    <w:p w:rsidR="00DF5CEF" w:rsidRDefault="00AD59A9" w:rsidP="00DF5CE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D59A9">
        <w:pict>
          <v:shape id="_x0000_s1049" type="#_x0000_t176" style="position:absolute;margin-left:367.35pt;margin-top:10.55pt;width:95pt;height:30.8pt;z-index:251663872" fillcolor="#b8cce4" strokecolor="#243f60">
            <v:shadow on="t" offset=",3pt" offset2=",2pt"/>
            <v:textbox style="mso-next-textbox:#_x0000_s1049">
              <w:txbxContent>
                <w:p w:rsidR="00DF5CEF" w:rsidRPr="008014F5" w:rsidRDefault="00AD6548" w:rsidP="008014F5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8014F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Average </w:t>
                  </w:r>
                  <w:proofErr w:type="spellStart"/>
                  <w:r w:rsidRPr="008014F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gastointestinal</w:t>
                  </w:r>
                  <w:proofErr w:type="spellEnd"/>
                  <w:r w:rsidRPr="008014F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risk</w:t>
                  </w:r>
                </w:p>
              </w:txbxContent>
            </v:textbox>
          </v:shape>
        </w:pict>
      </w:r>
      <w:r w:rsidRPr="00AD59A9">
        <w:pict>
          <v:shape id="_x0000_s1042" type="#_x0000_t176" style="position:absolute;margin-left:-1.5pt;margin-top:3.35pt;width:85.9pt;height:38pt;z-index:251656704" fillcolor="#b8cce4" strokecolor="#243f60">
            <v:shadow on="t" offset=",3pt" offset2=",2pt"/>
            <v:textbox style="mso-next-textbox:#_x0000_s1042">
              <w:txbxContent>
                <w:p w:rsidR="00DF5CEF" w:rsidRPr="008014F5" w:rsidRDefault="00AD6548" w:rsidP="00DF5CEF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8014F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High gastrointestinal risk</w:t>
                  </w:r>
                </w:p>
              </w:txbxContent>
            </v:textbox>
          </v:shape>
        </w:pict>
      </w:r>
      <w:r w:rsidRPr="00AD59A9">
        <w:pict>
          <v:shape id="_x0000_s1043" type="#_x0000_t176" style="position:absolute;margin-left:102.85pt;margin-top:3.35pt;width:84.95pt;height:38pt;z-index:251657728" fillcolor="#b8cce4" strokecolor="#243f60">
            <v:shadow on="t" offset=",3pt" offset2=",2pt"/>
            <v:textbox style="mso-next-textbox:#_x0000_s1043">
              <w:txbxContent>
                <w:p w:rsidR="00DF5CEF" w:rsidRPr="008014F5" w:rsidRDefault="00AD6548" w:rsidP="00DF5CEF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8014F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Average gastrointestinal risk</w:t>
                  </w:r>
                </w:p>
              </w:txbxContent>
            </v:textbox>
          </v:shape>
        </w:pict>
      </w:r>
      <w:r w:rsidRPr="00AD59A9">
        <w:pict>
          <v:shape id="_x0000_s1048" type="#_x0000_t176" style="position:absolute;margin-left:252.15pt;margin-top:7.1pt;width:92.4pt;height:34.25pt;z-index:251662848" fillcolor="#b8cce4" strokecolor="#243f60">
            <v:shadow on="t" offset=",3pt" offset2=",2pt"/>
            <v:textbox style="mso-next-textbox:#_x0000_s1048">
              <w:txbxContent>
                <w:p w:rsidR="00DF5CEF" w:rsidRPr="008014F5" w:rsidRDefault="00AD6548" w:rsidP="008014F5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8014F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High gastrointestinal risk</w:t>
                  </w:r>
                </w:p>
              </w:txbxContent>
            </v:textbox>
          </v:shape>
        </w:pict>
      </w:r>
    </w:p>
    <w:p w:rsidR="00DF5CEF" w:rsidRDefault="00DF5CEF" w:rsidP="00DF5CEF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DF5CEF" w:rsidRDefault="00DF5CEF" w:rsidP="00DF5CEF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DF5CEF" w:rsidRDefault="00AD59A9" w:rsidP="00DF5CE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D59A9">
        <w:pict>
          <v:shape id="_x0000_s1059" type="#_x0000_t32" style="position:absolute;margin-left:437.7pt;margin-top:3.8pt;width:0;height:19.6pt;z-index:251674112" o:connectortype="straight">
            <v:stroke endarrow="block"/>
          </v:shape>
        </w:pict>
      </w:r>
      <w:r w:rsidRPr="00AD59A9">
        <w:pict>
          <v:shape id="_x0000_s1058" type="#_x0000_t32" style="position:absolute;margin-left:289.2pt;margin-top:3.4pt;width:0;height:19.6pt;z-index:251673088" o:connectortype="straight">
            <v:stroke endarrow="block"/>
          </v:shape>
        </w:pict>
      </w:r>
      <w:r w:rsidRPr="00AD59A9">
        <w:pict>
          <v:shape id="_x0000_s1053" type="#_x0000_t32" style="position:absolute;margin-left:15.25pt;margin-top:3.4pt;width:0;height:19.6pt;z-index:251667968" o:connectortype="straight">
            <v:stroke endarrow="block"/>
          </v:shape>
        </w:pict>
      </w:r>
      <w:r w:rsidRPr="00AD59A9">
        <w:pict>
          <v:shape id="_x0000_s1057" type="#_x0000_t32" style="position:absolute;margin-left:163.35pt;margin-top:3.4pt;width:0;height:19.6pt;z-index:251672064" o:connectortype="straight">
            <v:stroke endarrow="block"/>
          </v:shape>
        </w:pict>
      </w:r>
    </w:p>
    <w:p w:rsidR="00DF5CEF" w:rsidRDefault="005B0F16" w:rsidP="00DF5CE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D59A9">
        <w:pict>
          <v:shape id="_x0000_s1054" type="#_x0000_t176" style="position:absolute;margin-left:114.3pt;margin-top:10.35pt;width:87pt;height:104.8pt;z-index:251668992" fillcolor="#b8cce4" strokecolor="#243f60">
            <v:shadow on="t" offset=",3pt" offset2=",2pt"/>
            <v:textbox>
              <w:txbxContent>
                <w:p w:rsidR="00DF5CEF" w:rsidRPr="00067AC5" w:rsidRDefault="00DF5CEF" w:rsidP="00DF5CE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Naproxen, </w:t>
                  </w:r>
                  <w:r w:rsidR="005751F8"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provided that</w:t>
                  </w:r>
                  <w:r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the pa</w:t>
                  </w:r>
                  <w:r w:rsidR="005751F8"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tient is not on aspirin already</w:t>
                  </w:r>
                </w:p>
                <w:p w:rsidR="00DF5CEF" w:rsidRPr="00067AC5" w:rsidRDefault="00DF5CEF" w:rsidP="00DF5CE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F5CEF" w:rsidRPr="00067AC5" w:rsidRDefault="00DF5CEF" w:rsidP="00DF5CEF">
                  <w:pPr>
                    <w:jc w:val="center"/>
                    <w:rPr>
                      <w:sz w:val="16"/>
                      <w:szCs w:val="16"/>
                    </w:rPr>
                  </w:pPr>
                  <w:r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If on aspirin, use naproxen </w:t>
                  </w:r>
                  <w:r w:rsidR="005751F8"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plus</w:t>
                  </w:r>
                  <w:r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a </w:t>
                  </w:r>
                  <w:r w:rsidR="005751F8"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proton-pump inhibitor</w:t>
                  </w:r>
                  <w:r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or </w:t>
                  </w:r>
                  <w:proofErr w:type="spellStart"/>
                  <w:r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misoprostol</w:t>
                  </w:r>
                  <w:proofErr w:type="spellEnd"/>
                </w:p>
              </w:txbxContent>
            </v:textbox>
          </v:shape>
        </w:pict>
      </w:r>
      <w:r w:rsidR="00AD59A9" w:rsidRPr="00AD59A9">
        <w:pict>
          <v:shape id="_x0000_s1056" type="#_x0000_t176" style="position:absolute;margin-left:367.35pt;margin-top:10.75pt;width:95pt;height:32.35pt;z-index:251671040" fillcolor="#b8cce4" strokecolor="#243f60">
            <v:shadow on="t" offset=",3pt" offset2=",2pt"/>
            <v:textbox>
              <w:txbxContent>
                <w:p w:rsidR="00DF5CEF" w:rsidRPr="00067AC5" w:rsidRDefault="008014F5" w:rsidP="00DF5CE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Non</w:t>
                  </w:r>
                  <w:r w:rsidR="00DF5CEF"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selective</w:t>
                  </w:r>
                  <w:proofErr w:type="spellEnd"/>
                  <w:r w:rsidR="00DF5CEF"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NSAID only</w:t>
                  </w:r>
                </w:p>
              </w:txbxContent>
            </v:textbox>
          </v:shape>
        </w:pict>
      </w:r>
      <w:r w:rsidR="00AD59A9" w:rsidRPr="00AD59A9">
        <w:pict>
          <v:shape id="_x0000_s1055" type="#_x0000_t176" style="position:absolute;margin-left:243.95pt;margin-top:10.75pt;width:113.25pt;height:93.9pt;z-index:251670016" fillcolor="#b8cce4" strokecolor="#243f60">
            <v:shadow on="t" offset=",3pt" offset2=",2pt"/>
            <v:textbox>
              <w:txbxContent>
                <w:p w:rsidR="00DF5CEF" w:rsidRPr="00067AC5" w:rsidRDefault="008014F5" w:rsidP="00DF5CE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Non</w:t>
                  </w:r>
                  <w:r w:rsidR="00DF5CEF"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selective</w:t>
                  </w:r>
                  <w:proofErr w:type="spellEnd"/>
                  <w:r w:rsidR="00DF5CEF"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NSAID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  <w:r w:rsidR="00DF5CEF"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5751F8"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plus</w:t>
                  </w:r>
                  <w:r w:rsidR="00DF5CEF"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a </w:t>
                  </w:r>
                  <w:r w:rsidR="005751F8"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proton-pump inhibitor</w:t>
                  </w:r>
                  <w:r w:rsidR="00DF5CEF"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or </w:t>
                  </w:r>
                  <w:proofErr w:type="spellStart"/>
                  <w:r w:rsidR="00DF5CEF"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misoprostol</w:t>
                  </w:r>
                  <w:proofErr w:type="spellEnd"/>
                </w:p>
                <w:p w:rsidR="00DF5CEF" w:rsidRPr="00067AC5" w:rsidRDefault="00DF5CEF" w:rsidP="00DF5CE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F5CEF" w:rsidRPr="00067AC5" w:rsidRDefault="005751F8" w:rsidP="00DF5CE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or</w:t>
                  </w:r>
                  <w:proofErr w:type="gramEnd"/>
                </w:p>
                <w:p w:rsidR="00DF5CEF" w:rsidRPr="00067AC5" w:rsidRDefault="00DF5CEF" w:rsidP="00DF5CE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F5CEF" w:rsidRPr="00067AC5" w:rsidRDefault="00DF5CEF" w:rsidP="00DF5CE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Coxib</w:t>
                  </w:r>
                  <w:proofErr w:type="spellEnd"/>
                  <w:r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5751F8"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plus</w:t>
                  </w:r>
                  <w:r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a </w:t>
                  </w:r>
                  <w:r w:rsidR="005751F8"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proton-pump inhibitor</w:t>
                  </w:r>
                  <w:r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or </w:t>
                  </w:r>
                  <w:proofErr w:type="spellStart"/>
                  <w:r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misoprostol</w:t>
                  </w:r>
                  <w:proofErr w:type="spellEnd"/>
                </w:p>
              </w:txbxContent>
            </v:textbox>
          </v:shape>
        </w:pict>
      </w:r>
      <w:r w:rsidR="00AD59A9" w:rsidRPr="00AD59A9">
        <w:pict>
          <v:shape id="_x0000_s1052" type="#_x0000_t176" style="position:absolute;margin-left:-1.5pt;margin-top:10.35pt;width:93.85pt;height:90.4pt;z-index:251666944" fillcolor="#b8cce4" strokecolor="#243f60">
            <v:shadow on="t" offset=",3pt" offset2=",2pt"/>
            <v:textbox>
              <w:txbxContent>
                <w:p w:rsidR="00DF5CEF" w:rsidRPr="00067AC5" w:rsidRDefault="00DF5CEF" w:rsidP="00067AC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Avoid NSAIDs</w:t>
                  </w:r>
                </w:p>
                <w:p w:rsidR="00067AC5" w:rsidRPr="00067AC5" w:rsidRDefault="00067AC5" w:rsidP="00067AC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F5CEF" w:rsidRPr="00067AC5" w:rsidRDefault="00067AC5" w:rsidP="00067AC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o</w:t>
                  </w:r>
                  <w:r w:rsidR="005751F8"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r</w:t>
                  </w:r>
                  <w:proofErr w:type="gramEnd"/>
                </w:p>
                <w:p w:rsidR="00067AC5" w:rsidRPr="00067AC5" w:rsidRDefault="00067AC5" w:rsidP="00067AC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F5CEF" w:rsidRPr="00067AC5" w:rsidRDefault="00DF5CEF" w:rsidP="00DF5CEF">
                  <w:pPr>
                    <w:jc w:val="center"/>
                    <w:rPr>
                      <w:sz w:val="16"/>
                      <w:szCs w:val="16"/>
                    </w:rPr>
                  </w:pPr>
                  <w:r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If unavoidable, use naproxen </w:t>
                  </w:r>
                  <w:r w:rsidR="005751F8"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plus</w:t>
                  </w:r>
                  <w:r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a </w:t>
                  </w:r>
                  <w:r w:rsidR="005751F8"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proton-pump inhibitor</w:t>
                  </w:r>
                  <w:r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or </w:t>
                  </w:r>
                  <w:proofErr w:type="spellStart"/>
                  <w:r w:rsidRPr="00067A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misoprostol</w:t>
                  </w:r>
                  <w:proofErr w:type="spellEnd"/>
                </w:p>
              </w:txbxContent>
            </v:textbox>
          </v:shape>
        </w:pict>
      </w:r>
    </w:p>
    <w:p w:rsidR="00DF5CEF" w:rsidRDefault="00DF5CEF" w:rsidP="00DF5CEF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DF5CEF" w:rsidRDefault="00DF5CEF" w:rsidP="00DF5CEF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DF5CEF" w:rsidRDefault="00DF5CEF" w:rsidP="00DF5CEF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DF5CEF" w:rsidRDefault="00DF5CEF" w:rsidP="00DF5CEF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DF5CEF" w:rsidRDefault="00DF5CEF" w:rsidP="00DF5CEF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DF5CEF" w:rsidRDefault="00DF5CEF" w:rsidP="00DF5CEF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DF5CEF" w:rsidRDefault="00DF5CEF" w:rsidP="00DF5CEF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DF5CEF" w:rsidRDefault="00DF5CEF" w:rsidP="00DF5CEF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DF5CEF" w:rsidRDefault="00DF5CEF" w:rsidP="00DF5CEF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293F1E" w:rsidRPr="00293F1E" w:rsidRDefault="005B0F16" w:rsidP="00293F1E">
      <w:pPr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Coxib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cyclo-oxygenase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inhibitor</w:t>
      </w:r>
      <w:r w:rsidR="00A711EB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="00293F1E" w:rsidRPr="00293F1E">
        <w:rPr>
          <w:rFonts w:ascii="Times New Roman" w:hAnsi="Times New Roman" w:cs="Times New Roman"/>
          <w:sz w:val="16"/>
          <w:szCs w:val="16"/>
          <w:lang w:val="en-US"/>
        </w:rPr>
        <w:t>NSAID:</w:t>
      </w:r>
      <w:r w:rsidR="00293F1E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293F1E">
        <w:rPr>
          <w:rFonts w:ascii="Times New Roman" w:hAnsi="Times New Roman" w:cs="Times New Roman"/>
          <w:sz w:val="16"/>
          <w:szCs w:val="16"/>
          <w:lang w:val="en-US"/>
        </w:rPr>
        <w:t>nonst</w:t>
      </w:r>
      <w:r w:rsidR="00293F1E" w:rsidRPr="00293F1E">
        <w:rPr>
          <w:rFonts w:ascii="Times New Roman" w:hAnsi="Times New Roman" w:cs="Times New Roman"/>
          <w:sz w:val="16"/>
          <w:szCs w:val="16"/>
          <w:lang w:val="en-US"/>
        </w:rPr>
        <w:t>eroidal</w:t>
      </w:r>
      <w:proofErr w:type="spellEnd"/>
      <w:r w:rsidR="00293F1E" w:rsidRPr="00293F1E">
        <w:rPr>
          <w:rFonts w:ascii="Times New Roman" w:hAnsi="Times New Roman" w:cs="Times New Roman"/>
          <w:sz w:val="16"/>
          <w:szCs w:val="16"/>
          <w:lang w:val="en-US"/>
        </w:rPr>
        <w:t xml:space="preserve"> anti-inflammatory drug</w:t>
      </w:r>
    </w:p>
    <w:p w:rsidR="00293F1E" w:rsidRDefault="00293F1E" w:rsidP="00DF5CEF">
      <w:pPr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293F1E" w:rsidRPr="00293F1E" w:rsidRDefault="00DF5CEF" w:rsidP="00DF5CE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293F1E">
        <w:rPr>
          <w:rFonts w:ascii="Times New Roman" w:hAnsi="Times New Roman" w:cs="Times New Roman"/>
          <w:b/>
          <w:sz w:val="20"/>
          <w:szCs w:val="20"/>
          <w:lang w:val="en-US"/>
        </w:rPr>
        <w:t>Figure 3:</w:t>
      </w:r>
      <w:r w:rsidRPr="00293F1E">
        <w:rPr>
          <w:rFonts w:ascii="Times New Roman" w:hAnsi="Times New Roman" w:cs="Times New Roman"/>
          <w:sz w:val="20"/>
          <w:szCs w:val="20"/>
          <w:lang w:val="en-US"/>
        </w:rPr>
        <w:t xml:space="preserve"> Management algorithm for frequent or ongoing </w:t>
      </w:r>
      <w:proofErr w:type="spellStart"/>
      <w:r w:rsidR="00293F1E" w:rsidRPr="00293F1E">
        <w:rPr>
          <w:rFonts w:ascii="Times New Roman" w:hAnsi="Times New Roman" w:cs="Times New Roman"/>
          <w:sz w:val="20"/>
          <w:szCs w:val="20"/>
          <w:lang w:val="en-US"/>
        </w:rPr>
        <w:t>nonsteroidal</w:t>
      </w:r>
      <w:proofErr w:type="spellEnd"/>
      <w:r w:rsidR="00293F1E" w:rsidRPr="00293F1E">
        <w:rPr>
          <w:rFonts w:ascii="Times New Roman" w:hAnsi="Times New Roman" w:cs="Times New Roman"/>
          <w:sz w:val="20"/>
          <w:szCs w:val="20"/>
          <w:lang w:val="en-US"/>
        </w:rPr>
        <w:t xml:space="preserve"> anti-inflammatory drug</w:t>
      </w:r>
      <w:r w:rsidRPr="00293F1E">
        <w:rPr>
          <w:rFonts w:ascii="Times New Roman" w:hAnsi="Times New Roman" w:cs="Times New Roman"/>
          <w:sz w:val="20"/>
          <w:szCs w:val="20"/>
          <w:lang w:val="en-US"/>
        </w:rPr>
        <w:t xml:space="preserve"> therapy</w:t>
      </w:r>
      <w:r w:rsidR="00293F1E" w:rsidRPr="00293F1E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11</w:t>
      </w:r>
    </w:p>
    <w:p w:rsidR="00293F1E" w:rsidRDefault="00293F1E" w:rsidP="00DF5CEF">
      <w:pPr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DF5CEF" w:rsidRDefault="00DF5CEF" w:rsidP="00DF5CEF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DF5CEF" w:rsidRDefault="00DF5CEF" w:rsidP="00DF5CEF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8A1041" w:rsidRDefault="008A1041"/>
    <w:sectPr w:rsidR="008A1041" w:rsidSect="00700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E0F26"/>
    <w:multiLevelType w:val="hybridMultilevel"/>
    <w:tmpl w:val="B6845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A4093"/>
    <w:multiLevelType w:val="hybridMultilevel"/>
    <w:tmpl w:val="2E749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707DDA"/>
    <w:multiLevelType w:val="hybridMultilevel"/>
    <w:tmpl w:val="C9AE8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03796C"/>
    <w:multiLevelType w:val="hybridMultilevel"/>
    <w:tmpl w:val="FB92A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5CEF"/>
    <w:rsid w:val="00016C0A"/>
    <w:rsid w:val="00025ABC"/>
    <w:rsid w:val="000616DD"/>
    <w:rsid w:val="00067AC5"/>
    <w:rsid w:val="00145D95"/>
    <w:rsid w:val="001C2A0D"/>
    <w:rsid w:val="001F6FF1"/>
    <w:rsid w:val="00293F1E"/>
    <w:rsid w:val="002F3860"/>
    <w:rsid w:val="00311A50"/>
    <w:rsid w:val="005712CF"/>
    <w:rsid w:val="005751F8"/>
    <w:rsid w:val="00595758"/>
    <w:rsid w:val="005A7250"/>
    <w:rsid w:val="005B0F16"/>
    <w:rsid w:val="00631DAB"/>
    <w:rsid w:val="006569C7"/>
    <w:rsid w:val="00692949"/>
    <w:rsid w:val="00700429"/>
    <w:rsid w:val="007A3519"/>
    <w:rsid w:val="008014F5"/>
    <w:rsid w:val="008951DC"/>
    <w:rsid w:val="008A1041"/>
    <w:rsid w:val="009B10E6"/>
    <w:rsid w:val="00A55006"/>
    <w:rsid w:val="00A67EAF"/>
    <w:rsid w:val="00A711EB"/>
    <w:rsid w:val="00A83F8A"/>
    <w:rsid w:val="00AD59A9"/>
    <w:rsid w:val="00AD6548"/>
    <w:rsid w:val="00C91115"/>
    <w:rsid w:val="00DF5CEF"/>
    <w:rsid w:val="00E41161"/>
    <w:rsid w:val="00E85EF2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0" type="connector" idref="#_x0000_s1044"/>
        <o:r id="V:Rule21" type="connector" idref="#_x0000_s1050"/>
        <o:r id="V:Rule22" type="connector" idref="#_x0000_s1046"/>
        <o:r id="V:Rule23" type="connector" idref="#_x0000_s1047"/>
        <o:r id="V:Rule24" type="connector" idref="#_x0000_s1045"/>
        <o:r id="V:Rule25" type="connector" idref="#_x0000_s1033"/>
        <o:r id="V:Rule26" type="connector" idref="#_x0000_s1057"/>
        <o:r id="V:Rule27" type="connector" idref="#_x0000_s1059"/>
        <o:r id="V:Rule28" type="connector" idref="#_x0000_s1058"/>
        <o:r id="V:Rule29" type="connector" idref="#_x0000_s1038"/>
        <o:r id="V:Rule30" type="connector" idref="#_x0000_s1031"/>
        <o:r id="V:Rule31" type="connector" idref="#_x0000_s1030"/>
        <o:r id="V:Rule32" type="connector" idref="#_x0000_s1032"/>
        <o:r id="V:Rule33" type="connector" idref="#_x0000_s1026"/>
        <o:r id="V:Rule34" type="connector" idref="#_x0000_s1053"/>
        <o:r id="V:Rule35" type="connector" idref="#_x0000_s1040"/>
        <o:r id="V:Rule36" type="connector" idref="#_x0000_s1041"/>
        <o:r id="V:Rule37" type="connector" idref="#_x0000_s1039"/>
        <o:r id="V:Rule38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CEF"/>
    <w:pPr>
      <w:spacing w:after="0" w:line="240" w:lineRule="auto"/>
    </w:pPr>
    <w:rPr>
      <w:rFonts w:ascii="Arial" w:eastAsia="SimSun" w:hAnsi="Arial" w:cs="Arial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F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3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F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F1E"/>
    <w:rPr>
      <w:rFonts w:ascii="Arial" w:eastAsia="SimSun" w:hAnsi="Arial" w:cs="Arial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F1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1E"/>
    <w:rPr>
      <w:rFonts w:ascii="Tahoma" w:eastAsia="SimSun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Paul</dc:creator>
  <cp:lastModifiedBy>Karen Paul</cp:lastModifiedBy>
  <cp:revision>7</cp:revision>
  <dcterms:created xsi:type="dcterms:W3CDTF">2014-02-11T14:10:00Z</dcterms:created>
  <dcterms:modified xsi:type="dcterms:W3CDTF">2014-02-16T09:59:00Z</dcterms:modified>
</cp:coreProperties>
</file>