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4F" w:rsidRPr="00855A3C" w:rsidRDefault="00E77D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55A3C">
        <w:rPr>
          <w:rFonts w:ascii="Arial" w:hAnsi="Arial" w:cs="Arial"/>
          <w:sz w:val="24"/>
          <w:szCs w:val="24"/>
        </w:rPr>
        <w:t xml:space="preserve">Legends </w:t>
      </w:r>
    </w:p>
    <w:p w:rsidR="00E77DB0" w:rsidRPr="00855A3C" w:rsidRDefault="00E77DB0">
      <w:pPr>
        <w:rPr>
          <w:rFonts w:ascii="Arial" w:hAnsi="Arial" w:cs="Arial"/>
          <w:sz w:val="24"/>
          <w:szCs w:val="24"/>
        </w:rPr>
      </w:pPr>
      <w:r w:rsidRPr="00855A3C">
        <w:rPr>
          <w:rFonts w:ascii="Arial" w:hAnsi="Arial" w:cs="Arial"/>
          <w:sz w:val="24"/>
          <w:szCs w:val="24"/>
        </w:rPr>
        <w:t xml:space="preserve">Figure 1: </w:t>
      </w:r>
      <w:r w:rsidR="00433A09">
        <w:rPr>
          <w:rFonts w:ascii="Arial" w:hAnsi="Arial" w:cs="Arial"/>
          <w:sz w:val="24"/>
          <w:szCs w:val="24"/>
        </w:rPr>
        <w:t>Stepwise approach to the management of allergic conjunctivitis</w:t>
      </w:r>
    </w:p>
    <w:p w:rsidR="00E77DB0" w:rsidRPr="00855A3C" w:rsidRDefault="00E77DB0">
      <w:pPr>
        <w:rPr>
          <w:rFonts w:ascii="Arial" w:hAnsi="Arial" w:cs="Arial"/>
          <w:sz w:val="24"/>
          <w:szCs w:val="24"/>
        </w:rPr>
      </w:pPr>
      <w:r w:rsidRPr="00855A3C">
        <w:rPr>
          <w:rFonts w:ascii="Arial" w:hAnsi="Arial" w:cs="Arial"/>
          <w:sz w:val="24"/>
          <w:szCs w:val="24"/>
        </w:rPr>
        <w:t>Figure 2:</w:t>
      </w:r>
      <w:r w:rsidR="00855A3C" w:rsidRPr="00855A3C">
        <w:rPr>
          <w:rFonts w:ascii="Arial" w:hAnsi="Arial" w:cs="Arial"/>
          <w:sz w:val="24"/>
          <w:szCs w:val="24"/>
        </w:rPr>
        <w:t xml:space="preserve"> </w:t>
      </w:r>
      <w:r w:rsidR="00433A09" w:rsidRPr="00855A3C">
        <w:rPr>
          <w:rFonts w:ascii="Arial" w:hAnsi="Arial" w:cs="Arial"/>
          <w:sz w:val="24"/>
          <w:szCs w:val="24"/>
        </w:rPr>
        <w:t>Acute allergic conjunctivitis: conjunctival chemosis and lid swelling</w:t>
      </w:r>
    </w:p>
    <w:p w:rsidR="00E77DB0" w:rsidRPr="00855A3C" w:rsidRDefault="00E77DB0">
      <w:pPr>
        <w:rPr>
          <w:rFonts w:ascii="Arial" w:hAnsi="Arial" w:cs="Arial"/>
          <w:sz w:val="24"/>
          <w:szCs w:val="24"/>
        </w:rPr>
      </w:pPr>
      <w:r w:rsidRPr="00855A3C">
        <w:rPr>
          <w:rFonts w:ascii="Arial" w:hAnsi="Arial" w:cs="Arial"/>
          <w:sz w:val="24"/>
          <w:szCs w:val="24"/>
        </w:rPr>
        <w:t>Figure 3:</w:t>
      </w:r>
      <w:r w:rsidR="00855A3C">
        <w:rPr>
          <w:rFonts w:ascii="Arial" w:hAnsi="Arial" w:cs="Arial"/>
          <w:sz w:val="24"/>
          <w:szCs w:val="24"/>
        </w:rPr>
        <w:t xml:space="preserve"> </w:t>
      </w:r>
      <w:r w:rsidR="00433A09" w:rsidRPr="00855A3C">
        <w:rPr>
          <w:rFonts w:ascii="Arial" w:hAnsi="Arial" w:cs="Arial"/>
          <w:sz w:val="24"/>
          <w:szCs w:val="24"/>
        </w:rPr>
        <w:t xml:space="preserve">Seasonal and </w:t>
      </w:r>
      <w:r w:rsidR="00433A09">
        <w:rPr>
          <w:rFonts w:ascii="Arial" w:hAnsi="Arial" w:cs="Arial"/>
          <w:sz w:val="24"/>
          <w:szCs w:val="24"/>
        </w:rPr>
        <w:t>p</w:t>
      </w:r>
      <w:r w:rsidR="00433A09" w:rsidRPr="00855A3C">
        <w:rPr>
          <w:rFonts w:ascii="Arial" w:hAnsi="Arial" w:cs="Arial"/>
          <w:sz w:val="24"/>
          <w:szCs w:val="24"/>
        </w:rPr>
        <w:t>erennial allergic conjunctivitis</w:t>
      </w:r>
      <w:r w:rsidR="00433A09">
        <w:rPr>
          <w:rFonts w:ascii="Arial" w:hAnsi="Arial" w:cs="Arial"/>
          <w:sz w:val="24"/>
          <w:szCs w:val="24"/>
        </w:rPr>
        <w:t>:</w:t>
      </w:r>
      <w:r w:rsidR="00433A09" w:rsidRPr="00855A3C">
        <w:rPr>
          <w:rFonts w:ascii="Arial" w:hAnsi="Arial" w:cs="Arial"/>
          <w:sz w:val="24"/>
          <w:szCs w:val="24"/>
        </w:rPr>
        <w:t xml:space="preserve"> acute conjunctival injection</w:t>
      </w:r>
    </w:p>
    <w:p w:rsidR="00E77DB0" w:rsidRPr="00855A3C" w:rsidRDefault="00E77DB0">
      <w:pPr>
        <w:rPr>
          <w:rFonts w:ascii="Arial" w:hAnsi="Arial" w:cs="Arial"/>
          <w:sz w:val="24"/>
          <w:szCs w:val="24"/>
        </w:rPr>
      </w:pPr>
      <w:r w:rsidRPr="00855A3C">
        <w:rPr>
          <w:rFonts w:ascii="Arial" w:hAnsi="Arial" w:cs="Arial"/>
          <w:sz w:val="24"/>
          <w:szCs w:val="24"/>
        </w:rPr>
        <w:t xml:space="preserve">Figure 4: Palpebral vernal disease: Diffuse </w:t>
      </w:r>
      <w:proofErr w:type="spellStart"/>
      <w:r w:rsidRPr="00855A3C">
        <w:rPr>
          <w:rFonts w:ascii="Arial" w:hAnsi="Arial" w:cs="Arial"/>
          <w:sz w:val="24"/>
          <w:szCs w:val="24"/>
        </w:rPr>
        <w:t>subtarsal</w:t>
      </w:r>
      <w:proofErr w:type="spellEnd"/>
      <w:r w:rsidRPr="00855A3C">
        <w:rPr>
          <w:rFonts w:ascii="Arial" w:hAnsi="Arial" w:cs="Arial"/>
          <w:sz w:val="24"/>
          <w:szCs w:val="24"/>
        </w:rPr>
        <w:t xml:space="preserve"> papillae</w:t>
      </w:r>
    </w:p>
    <w:p w:rsidR="00E77DB0" w:rsidRPr="00855A3C" w:rsidRDefault="00E77DB0">
      <w:pPr>
        <w:rPr>
          <w:rFonts w:ascii="Arial" w:hAnsi="Arial" w:cs="Arial"/>
          <w:sz w:val="24"/>
          <w:szCs w:val="24"/>
        </w:rPr>
      </w:pPr>
      <w:r w:rsidRPr="00855A3C">
        <w:rPr>
          <w:rFonts w:ascii="Arial" w:hAnsi="Arial" w:cs="Arial"/>
          <w:sz w:val="24"/>
          <w:szCs w:val="24"/>
        </w:rPr>
        <w:t>Figure 5: Limbal vernal disease: Limbal papillae and Trantas dots</w:t>
      </w:r>
    </w:p>
    <w:p w:rsidR="00E77DB0" w:rsidRDefault="00E77DB0">
      <w:pPr>
        <w:rPr>
          <w:rFonts w:ascii="Arial" w:hAnsi="Arial" w:cs="Arial"/>
          <w:sz w:val="24"/>
          <w:szCs w:val="24"/>
        </w:rPr>
      </w:pPr>
      <w:r w:rsidRPr="00855A3C">
        <w:rPr>
          <w:rFonts w:ascii="Arial" w:hAnsi="Arial" w:cs="Arial"/>
          <w:sz w:val="24"/>
          <w:szCs w:val="24"/>
        </w:rPr>
        <w:t xml:space="preserve">Figure 6: </w:t>
      </w:r>
      <w:r w:rsidR="002A5D26" w:rsidRPr="002A5D26">
        <w:rPr>
          <w:rFonts w:ascii="Arial" w:hAnsi="Arial" w:cs="Arial"/>
          <w:sz w:val="24"/>
          <w:szCs w:val="24"/>
        </w:rPr>
        <w:t>Corneal involvement in vernal disease: Shield ulcer and plaque</w:t>
      </w:r>
    </w:p>
    <w:p w:rsidR="00855A3C" w:rsidRDefault="00855A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7: </w:t>
      </w:r>
      <w:r w:rsidR="00433A09">
        <w:rPr>
          <w:rFonts w:ascii="Arial" w:hAnsi="Arial" w:cs="Arial"/>
          <w:sz w:val="24"/>
          <w:szCs w:val="24"/>
        </w:rPr>
        <w:t>Eyelid thickening and keratinisation in atopic keratoconjunctivitis</w:t>
      </w:r>
    </w:p>
    <w:sectPr w:rsidR="00855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B0"/>
    <w:rsid w:val="002A5D26"/>
    <w:rsid w:val="00433A09"/>
    <w:rsid w:val="005135FC"/>
    <w:rsid w:val="00855A3C"/>
    <w:rsid w:val="00E1284F"/>
    <w:rsid w:val="00E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Nabiel</dc:creator>
  <cp:lastModifiedBy>Derrick</cp:lastModifiedBy>
  <cp:revision>2</cp:revision>
  <dcterms:created xsi:type="dcterms:W3CDTF">2012-11-13T09:40:00Z</dcterms:created>
  <dcterms:modified xsi:type="dcterms:W3CDTF">2012-11-13T09:40:00Z</dcterms:modified>
</cp:coreProperties>
</file>